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项目委托受理办事指南</w: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2052" o:spid="_x0000_s2052" o:spt="1" style="position:absolute;left:0pt;margin-left:47.3pt;margin-top:13.85pt;height:63.7pt;width:211.5pt;z-index:251648000;v-text-anchor:middle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招标人在系统平台（中介超市栏目）内通过竞价或随机抽取等方式产生代理机构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5" o:spid="_x0000_s2055" o:spt="32" type="#_x0000_t32" style="position:absolute;left:0pt;margin-left:148.85pt;margin-top:4.5pt;height:20.25pt;width:0.75pt;z-index:251649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2053" o:spid="_x0000_s2053" o:spt="1" style="position:absolute;left:0pt;margin-left:53.3pt;margin-top:9.15pt;height:74.4pt;width:195.75pt;z-index:251650048;v-text-anchor:middle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招标代理机构在芜湖市公共资源交易中心业务系统平台中提交资料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="仿宋_GB2312" w:eastAsia="仿宋_GB2312" w:hAnsiTheme="minorHAnsi"/>
          <w:color w:val="333333"/>
          <w:sz w:val="32"/>
          <w:szCs w:val="32"/>
        </w:rPr>
        <w:pict>
          <v:shape id="_x0000_s2069" o:spid="_x0000_s2069" o:spt="32" type="#_x0000_t32" style="position:absolute;left:0pt;flip:y;margin-left:-7.2pt;margin-top:11.55pt;height:255.5pt;width:0.1pt;z-index:2516510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eastAsia="仿宋_GB2312" w:hAnsiTheme="minorHAnsi"/>
          <w:color w:val="333333"/>
          <w:sz w:val="32"/>
          <w:szCs w:val="32"/>
        </w:rPr>
        <w:pict>
          <v:shape id="_x0000_s2071" o:spid="_x0000_s2071" o:spt="32" type="#_x0000_t32" style="position:absolute;left:0pt;margin-left:-7.15pt;margin-top:11.55pt;height:0pt;width:60.45pt;z-index:2516520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="仿宋_GB2312" w:eastAsia="仿宋_GB2312" w:hAnsiTheme="minorHAnsi"/>
          <w:color w:val="333333"/>
          <w:sz w:val="32"/>
          <w:szCs w:val="32"/>
        </w:rPr>
        <w:pict>
          <v:shape id="_x0000_s2050" o:spid="_x0000_s2050" o:spt="61" type="#_x0000_t61" style="position:absolute;left:0pt;margin-left:278pt;margin-top:12.6pt;height:237pt;width:240.75pt;rotation:5898240f;z-index:251653120;mso-width-relative:page;mso-height-relative:page;" coordsize="21600,21600" adj="-682,24334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5"/>
                    <w:tblW w:w="4719" w:type="dxa"/>
                    <w:tblInd w:w="0" w:type="dxa"/>
                    <w:tblBorders>
                      <w:top w:val="single" w:color="000000" w:themeColor="text1" w:sz="4" w:space="0"/>
                      <w:left w:val="single" w:color="000000" w:themeColor="text1" w:sz="4" w:space="0"/>
                      <w:bottom w:val="single" w:color="000000" w:themeColor="text1" w:sz="4" w:space="0"/>
                      <w:right w:val="single" w:color="000000" w:themeColor="text1" w:sz="4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54"/>
                    <w:gridCol w:w="3565"/>
                  </w:tblGrid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154" w:type="dxa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分类</w:t>
                        </w:r>
                      </w:p>
                    </w:tc>
                    <w:tc>
                      <w:tcPr>
                        <w:tcW w:w="3565" w:type="dxa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申请材料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99" w:hRule="atLeast"/>
                    </w:trPr>
                    <w:tc>
                      <w:tcPr>
                        <w:tcW w:w="1154" w:type="dxa"/>
                        <w:vAlign w:val="center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政府采购工程</w:t>
                        </w:r>
                      </w:p>
                    </w:tc>
                    <w:tc>
                      <w:tcPr>
                        <w:tcW w:w="3565" w:type="dxa"/>
                      </w:tcPr>
                      <w:p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委托函、资金证明、招标代理机构委托协议、建设工程控制价和工程量清单，立项批文材料、规划许可、用地许可施工图纸及图审合格书（如有）。其中非公开招标方式需提供批准材料。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12" w:hRule="atLeast"/>
                    </w:trPr>
                    <w:tc>
                      <w:tcPr>
                        <w:tcW w:w="1154" w:type="dxa"/>
                        <w:vAlign w:val="center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政府采购货物或服务</w:t>
                        </w:r>
                      </w:p>
                    </w:tc>
                    <w:tc>
                      <w:tcPr>
                        <w:tcW w:w="3565" w:type="dxa"/>
                      </w:tcPr>
                      <w:p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委托函、资金证明、招标代理机构委托协议、采购货物技术参数（或服务招标需求）。其中县财政部门同意采购进口产品的批文(采购进口产品须有)非公开招标采购方式需提供批准材料。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7" o:spid="_x0000_s2067" o:spt="32" type="#_x0000_t32" style="position:absolute;left:0pt;flip:y;margin-left:24.3pt;margin-top:4.35pt;height:129.55pt;width:0.05pt;z-index:2516541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4"/>
          <w:szCs w:val="24"/>
        </w:rPr>
        <w:pict>
          <v:shape id="_x0000_s2070" o:spid="_x0000_s2070" o:spt="32" type="#_x0000_t32" style="position:absolute;left:0pt;margin-left:24.3pt;margin-top:4.35pt;height:0.05pt;width:29pt;z-index:2516551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6" o:spid="_x0000_s2056" o:spt="32" type="#_x0000_t32" style="position:absolute;left:0pt;margin-left:148.05pt;margin-top:7.2pt;height:17.55pt;width:0.05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4"/>
          <w:szCs w:val="24"/>
        </w:rPr>
        <w:pict>
          <v:shape id="_x0000_s2072" o:spid="_x0000_s2072" o:spt="202" type="#_x0000_t202" style="position:absolute;left:0pt;margin-left:-0.7pt;margin-top:3.05pt;height:92.6pt;width:21.25pt;z-index:251657216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不通过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4" o:spid="_x0000_s2054" o:spt="4" type="#_x0000_t4" style="position:absolute;left:0pt;margin-left:70.05pt;margin-top:4.95pt;height:102.75pt;width:153.7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县公管局审核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1" o:spid="_x0000_s2051" o:spt="202" type="#_x0000_t202" style="position:absolute;left:0pt;margin-left:217.8pt;margin-top:1.4pt;height:43.55pt;width:50.25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一个工作日内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6" o:spid="_x0000_s2066" o:spt="32" type="#_x0000_t32" style="position:absolute;left:0pt;margin-left:23.3pt;margin-top:9pt;height:0.05pt;width:47.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4" o:spid="_x0000_s2064" o:spt="202" type="#_x0000_t202" style="position:absolute;left:0pt;margin-left:202.25pt;margin-top:15.35pt;height:34.3pt;width:59.5pt;z-index:251661312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7" o:spid="_x0000_s2057" o:spt="32" type="#_x0000_t32" style="position:absolute;left:0pt;margin-left:148.05pt;margin-top:7.65pt;height:21.75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0" o:spid="_x0000_s2060" o:spt="4" type="#_x0000_t4" style="position:absolute;left:0pt;margin-left:72.8pt;margin-top:15.3pt;height:84.3pt;width:153.7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县分中心查验资料完备性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8" o:spid="_x0000_s2068" o:spt="32" type="#_x0000_t32" style="position:absolute;left:0pt;margin-left:-6.2pt;margin-top:1.85pt;height:0.05pt;width:78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5" o:spid="_x0000_s2065" o:spt="202" type="#_x0000_t202" style="position:absolute;left:0pt;margin-left:200.3pt;margin-top:7.15pt;height:33.7pt;width:59.5pt;z-index:251665408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bookmarkStart w:id="0" w:name="_GoBack"/>
      <w:bookmarkEnd w:id="0"/>
      <w:r>
        <w:rPr>
          <w:rFonts w:asciiTheme="majorEastAsia" w:hAnsiTheme="majorEastAsia" w:eastAsiaTheme="majorEastAsia"/>
          <w:sz w:val="24"/>
          <w:szCs w:val="24"/>
        </w:rPr>
        <w:pict>
          <v:shape id="_x0000_s2063" o:spid="_x0000_s2063" o:spt="32" type="#_x0000_t32" style="position:absolute;left:0pt;margin-left:146.6pt;margin-top:10.5pt;height:18.9pt;width:0.0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2061" o:spid="_x0000_s2061" o:spt="1" style="position:absolute;left:0pt;margin-left:18.05pt;margin-top:5.4pt;height:41.25pt;width:259.35pt;z-index:251667456;v-text-anchor:middle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代理机构可以继续后续项目流程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ind w:firstLine="480" w:firstLineChars="15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咨询电话：芜湖市公共资源交易中心3楼301室0553-2521565</w:t>
      </w:r>
    </w:p>
    <w:p>
      <w:pPr>
        <w:widowControl/>
        <w:ind w:firstLine="480" w:firstLineChars="15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在无为县分中心平台运转项目参见此流程，在市中心平台运转项目详见市中心办事指南。</w:t>
      </w:r>
    </w:p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873"/>
    <w:rsid w:val="00001B3F"/>
    <w:rsid w:val="000023A1"/>
    <w:rsid w:val="00002E7D"/>
    <w:rsid w:val="000034F9"/>
    <w:rsid w:val="00003862"/>
    <w:rsid w:val="0000423B"/>
    <w:rsid w:val="000053B5"/>
    <w:rsid w:val="000058ED"/>
    <w:rsid w:val="00006032"/>
    <w:rsid w:val="00007AD5"/>
    <w:rsid w:val="00007EAA"/>
    <w:rsid w:val="00010D7A"/>
    <w:rsid w:val="000116DA"/>
    <w:rsid w:val="00011F49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90"/>
    <w:rsid w:val="000453B3"/>
    <w:rsid w:val="000459B7"/>
    <w:rsid w:val="00046E07"/>
    <w:rsid w:val="000472F1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1D1C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30C8"/>
    <w:rsid w:val="00233DDF"/>
    <w:rsid w:val="002354F2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738D"/>
    <w:rsid w:val="002605A1"/>
    <w:rsid w:val="002637E9"/>
    <w:rsid w:val="002642DC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296B"/>
    <w:rsid w:val="003751E2"/>
    <w:rsid w:val="00376CCD"/>
    <w:rsid w:val="00381466"/>
    <w:rsid w:val="00382228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BF4"/>
    <w:rsid w:val="0046759D"/>
    <w:rsid w:val="00471082"/>
    <w:rsid w:val="004761ED"/>
    <w:rsid w:val="004767D7"/>
    <w:rsid w:val="00480A12"/>
    <w:rsid w:val="00480EFF"/>
    <w:rsid w:val="00480FEF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52DB"/>
    <w:rsid w:val="00555839"/>
    <w:rsid w:val="00556020"/>
    <w:rsid w:val="00556321"/>
    <w:rsid w:val="00561C2B"/>
    <w:rsid w:val="0056330C"/>
    <w:rsid w:val="005643FB"/>
    <w:rsid w:val="00564628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B1F6C"/>
    <w:rsid w:val="005B3CD0"/>
    <w:rsid w:val="005B41ED"/>
    <w:rsid w:val="005B462B"/>
    <w:rsid w:val="005B6DBE"/>
    <w:rsid w:val="005B7FEF"/>
    <w:rsid w:val="005C0707"/>
    <w:rsid w:val="005C1375"/>
    <w:rsid w:val="005C1E2A"/>
    <w:rsid w:val="005C4F9A"/>
    <w:rsid w:val="005C6A3E"/>
    <w:rsid w:val="005D26E8"/>
    <w:rsid w:val="005D67D1"/>
    <w:rsid w:val="005D711C"/>
    <w:rsid w:val="005D7345"/>
    <w:rsid w:val="005E2F32"/>
    <w:rsid w:val="005E6C58"/>
    <w:rsid w:val="005F2257"/>
    <w:rsid w:val="005F2E6C"/>
    <w:rsid w:val="005F5771"/>
    <w:rsid w:val="005F673D"/>
    <w:rsid w:val="005F7A34"/>
    <w:rsid w:val="00604873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615FE"/>
    <w:rsid w:val="00662967"/>
    <w:rsid w:val="00662979"/>
    <w:rsid w:val="00666199"/>
    <w:rsid w:val="006661B3"/>
    <w:rsid w:val="00666E14"/>
    <w:rsid w:val="006710F3"/>
    <w:rsid w:val="00674146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7C0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8BB"/>
    <w:rsid w:val="00A758D2"/>
    <w:rsid w:val="00A76C46"/>
    <w:rsid w:val="00A82CF2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C9C"/>
    <w:rsid w:val="00B52CCC"/>
    <w:rsid w:val="00B538A7"/>
    <w:rsid w:val="00B561A0"/>
    <w:rsid w:val="00B563C3"/>
    <w:rsid w:val="00B56DC4"/>
    <w:rsid w:val="00B602F7"/>
    <w:rsid w:val="00B60A0C"/>
    <w:rsid w:val="00B612DE"/>
    <w:rsid w:val="00B67144"/>
    <w:rsid w:val="00B67666"/>
    <w:rsid w:val="00B67F56"/>
    <w:rsid w:val="00B7140E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6679"/>
    <w:rsid w:val="00BB68B5"/>
    <w:rsid w:val="00BC2512"/>
    <w:rsid w:val="00BC25C9"/>
    <w:rsid w:val="00BC2FE8"/>
    <w:rsid w:val="00BC5139"/>
    <w:rsid w:val="00BC5597"/>
    <w:rsid w:val="00BC5BBB"/>
    <w:rsid w:val="00BC7C85"/>
    <w:rsid w:val="00BD3AD1"/>
    <w:rsid w:val="00BD502F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C09"/>
    <w:rsid w:val="00ED68DF"/>
    <w:rsid w:val="00ED6984"/>
    <w:rsid w:val="00EE0064"/>
    <w:rsid w:val="00EE02F1"/>
    <w:rsid w:val="00EE1E08"/>
    <w:rsid w:val="00EE2284"/>
    <w:rsid w:val="00EE3E4F"/>
    <w:rsid w:val="00EE7583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F01C0"/>
    <w:rsid w:val="00FF0C33"/>
    <w:rsid w:val="00FF38D6"/>
    <w:rsid w:val="00FF3A22"/>
    <w:rsid w:val="00FF6627"/>
    <w:rsid w:val="00FF67A2"/>
    <w:rsid w:val="31631F6B"/>
    <w:rsid w:val="563276D4"/>
    <w:rsid w:val="628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_x0000_s2057"/>
        <o:r id="V:Rule4" type="connector" idref="#_x0000_s2063"/>
        <o:r id="V:Rule5" type="connector" idref="#_x0000_s2066"/>
        <o:r id="V:Rule6" type="connector" idref="#_x0000_s2067"/>
        <o:r id="V:Rule7" type="connector" idref="#_x0000_s2068"/>
        <o:r id="V:Rule8" type="connector" idref="#_x0000_s2069"/>
        <o:r id="V:Rule9" type="connector" idref="#_x0000_s2070"/>
        <o:r id="V:Rule10" type="connector" idref="#_x0000_s20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5"/>
    <customShpInfo spid="_x0000_s2053"/>
    <customShpInfo spid="_x0000_s2069"/>
    <customShpInfo spid="_x0000_s2071"/>
    <customShpInfo spid="_x0000_s2050"/>
    <customShpInfo spid="_x0000_s2067"/>
    <customShpInfo spid="_x0000_s2070"/>
    <customShpInfo spid="_x0000_s2056"/>
    <customShpInfo spid="_x0000_s2072"/>
    <customShpInfo spid="_x0000_s2054"/>
    <customShpInfo spid="_x0000_s2051"/>
    <customShpInfo spid="_x0000_s2066"/>
    <customShpInfo spid="_x0000_s2064"/>
    <customShpInfo spid="_x0000_s2057"/>
    <customShpInfo spid="_x0000_s2060"/>
    <customShpInfo spid="_x0000_s2068"/>
    <customShpInfo spid="_x0000_s2065"/>
    <customShpInfo spid="_x0000_s2063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21</Words>
  <Characters>126</Characters>
  <Lines>1</Lines>
  <Paragraphs>1</Paragraphs>
  <TotalTime>10</TotalTime>
  <ScaleCrop>false</ScaleCrop>
  <LinksUpToDate>false</LinksUpToDate>
  <CharactersWithSpaces>146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2019-11-12T06:27:00Z</dcterms:created>
  <dc:creator>石琳</dc:creator>
  <cp:lastModifiedBy>Administrator</cp:lastModifiedBy>
  <dcterms:modified xsi:type="dcterms:W3CDTF">2019-11-14T02:58:48Z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