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ascii="宋体" w:hAnsi="宋体"/>
          <w:b w:val="0"/>
          <w:szCs w:val="32"/>
        </w:rPr>
      </w:pPr>
      <w:bookmarkStart w:id="0" w:name="_GoBack"/>
      <w:bookmarkEnd w:id="0"/>
      <w:r>
        <w:rPr>
          <w:rFonts w:hint="eastAsia" w:ascii="宋体" w:hAnsi="宋体"/>
          <w:szCs w:val="32"/>
        </w:rPr>
        <w:t>采购需求</w:t>
      </w:r>
    </w:p>
    <w:p>
      <w:pPr>
        <w:pageBreakBefore w:val="0"/>
        <w:kinsoku/>
        <w:wordWrap/>
        <w:overflowPunct/>
        <w:topLinePunct w:val="0"/>
        <w:autoSpaceDE/>
        <w:autoSpaceDN/>
        <w:bidi w:val="0"/>
        <w:adjustRightInd/>
        <w:spacing w:line="640" w:lineRule="exact"/>
        <w:textAlignment w:val="auto"/>
        <w:rPr>
          <w:rFonts w:ascii="宋体" w:hAnsi="宋体"/>
          <w:sz w:val="24"/>
        </w:rPr>
      </w:pPr>
      <w:r>
        <w:rPr>
          <w:rFonts w:hint="eastAsia" w:ascii="宋体" w:hAnsi="宋体"/>
          <w:sz w:val="24"/>
        </w:rPr>
        <w:t>前注：</w:t>
      </w:r>
    </w:p>
    <w:p>
      <w:pPr>
        <w:pageBreakBefore w:val="0"/>
        <w:kinsoku/>
        <w:wordWrap/>
        <w:overflowPunct/>
        <w:topLinePunct w:val="0"/>
        <w:autoSpaceDE/>
        <w:autoSpaceDN/>
        <w:bidi w:val="0"/>
        <w:adjustRightInd/>
        <w:spacing w:line="640" w:lineRule="exact"/>
        <w:textAlignment w:val="auto"/>
        <w:rPr>
          <w:rFonts w:ascii="宋体" w:hAnsi="宋体"/>
          <w:sz w:val="24"/>
        </w:rPr>
      </w:pPr>
      <w:r>
        <w:rPr>
          <w:rFonts w:hint="eastAsia" w:ascii="宋体" w:hAnsi="宋体"/>
          <w:sz w:val="24"/>
        </w:rPr>
        <w:t>1）本说明中提出的技术方案仅为参考，如无明确限制，供应商可以进行优化，提供满足用户实际需要的更优（或者性能实质上不低于的）服务方案，且此方案须经评标小组评审认可；</w:t>
      </w:r>
      <w:r>
        <w:rPr>
          <w:rFonts w:hint="eastAsia" w:ascii="宋体" w:hAnsi="宋体"/>
          <w:sz w:val="24"/>
        </w:rPr>
        <w:cr/>
      </w:r>
      <w:r>
        <w:rPr>
          <w:rFonts w:hint="eastAsia" w:ascii="宋体" w:hAnsi="宋体"/>
          <w:sz w:val="24"/>
        </w:rPr>
        <w:t>2）供应商应当在响应文件中列出完成本项目并通过验收所需的所有各项服务等明细表及全部费用。成交供应商必须确保整体通过用户方及有关主管部门验收,所发生的验收费用由成交供应商承担；供应商应自行勘察项目现场，如供应商因未及时勘察现场而导致的报价缺项漏项废标、或成交后无法完工，供应商自行承担一切后果；</w:t>
      </w:r>
    </w:p>
    <w:p>
      <w:pPr>
        <w:pStyle w:val="23"/>
        <w:pageBreakBefore w:val="0"/>
        <w:kinsoku/>
        <w:wordWrap/>
        <w:overflowPunct/>
        <w:topLinePunct w:val="0"/>
        <w:autoSpaceDE/>
        <w:autoSpaceDN/>
        <w:bidi w:val="0"/>
        <w:adjustRightInd/>
        <w:spacing w:line="640" w:lineRule="exact"/>
        <w:ind w:firstLine="480"/>
        <w:textAlignment w:val="auto"/>
        <w:rPr>
          <w:rFonts w:ascii="宋体" w:hAnsi="宋体" w:eastAsia="宋体" w:cs="宋体"/>
          <w:sz w:val="24"/>
          <w:szCs w:val="21"/>
        </w:rPr>
      </w:pPr>
      <w:r>
        <w:rPr>
          <w:rFonts w:hint="eastAsia" w:ascii="宋体" w:hAnsi="宋体" w:eastAsia="宋体" w:cs="宋体"/>
          <w:sz w:val="24"/>
          <w:szCs w:val="21"/>
        </w:rPr>
        <w:t>一、项目概况</w:t>
      </w:r>
    </w:p>
    <w:p>
      <w:pPr>
        <w:pageBreakBefore w:val="0"/>
        <w:kinsoku/>
        <w:wordWrap/>
        <w:overflowPunct/>
        <w:topLinePunct w:val="0"/>
        <w:autoSpaceDE/>
        <w:autoSpaceDN/>
        <w:bidi w:val="0"/>
        <w:adjustRightInd/>
        <w:snapToGrid/>
        <w:spacing w:after="0" w:line="640" w:lineRule="exact"/>
        <w:ind w:firstLine="480" w:firstLineChars="200"/>
        <w:textAlignment w:val="auto"/>
        <w:rPr>
          <w:rFonts w:ascii="宋体" w:hAnsi="宋体"/>
          <w:sz w:val="24"/>
        </w:rPr>
      </w:pPr>
      <w:r>
        <w:rPr>
          <w:rFonts w:hint="eastAsia" w:ascii="宋体" w:hAnsi="宋体"/>
          <w:sz w:val="24"/>
        </w:rPr>
        <w:t xml:space="preserve"> 安徽新芜经济开发区设立于2001年，是国家级绿色园区、长江经济带国家级转型升级示范开发区、国家通航产业示范基地、省级重点经济开发区、省级创新型园区、省战略性新兴产业集聚发展基地、省企业投资项目承诺制改革试点开发区。开发区以装备制造业为特色，目前已形成汽车零部件、电子电器和新能源新材料三大产业集群，正在积极培育通用航空、机器人及智能装备、光电信息三大战略性新兴产业。面向未来，开发区认真贯彻五大发展行动计划，坚持高质量发展、创新发展，以创建“国家级开发区”为中心，着力推进重点项目建设，加快构建现代化经济体系，力争到“十三五”末，实现“千百十”奋斗目标；坚持生态优先、绿色发展，牢固树立“绿水青山就是金山银山”的理念，打造“水清、岸绿、产业优”的绿色生态开发区。</w:t>
      </w:r>
      <w:r>
        <w:rPr>
          <w:rFonts w:hint="eastAsia" w:ascii="宋体" w:hAnsi="宋体" w:cs="宋体"/>
          <w:sz w:val="24"/>
          <w:szCs w:val="24"/>
        </w:rPr>
        <w:t>为促进开发区外向型经济发展水平，提升综合实力，实现高质量发展，</w:t>
      </w:r>
      <w:r>
        <w:rPr>
          <w:rFonts w:hint="eastAsia" w:ascii="宋体" w:hAnsi="宋体" w:cs="宋体"/>
          <w:sz w:val="24"/>
          <w:szCs w:val="24"/>
          <w:lang w:val="en-US" w:eastAsia="zh-CN"/>
        </w:rPr>
        <w:t>安徽新芜经济开发区</w:t>
      </w:r>
      <w:r>
        <w:rPr>
          <w:rFonts w:hint="eastAsia" w:ascii="宋体" w:hAnsi="宋体" w:cs="宋体"/>
          <w:sz w:val="24"/>
          <w:szCs w:val="24"/>
        </w:rPr>
        <w:t>根据《安徽省商务厅关于印发&lt;国际合作产业园评定管理办法（试行）&gt;的通知》文件精神及要求，拟开展国际合作产业园申报工作。现拟招一家第三方机构提供国际合作产业园申报工作专项咨询服务。</w:t>
      </w:r>
    </w:p>
    <w:p>
      <w:pPr>
        <w:pStyle w:val="23"/>
        <w:spacing w:line="520" w:lineRule="exact"/>
        <w:ind w:firstLine="0" w:firstLineChars="0"/>
        <w:rPr>
          <w:rFonts w:ascii="宋体" w:hAnsi="宋体" w:cs="宋体"/>
          <w:sz w:val="24"/>
          <w:szCs w:val="24"/>
        </w:rPr>
      </w:pPr>
      <w:r>
        <w:rPr>
          <w:rFonts w:hint="eastAsia" w:ascii="宋体" w:hAnsi="宋体" w:cs="宋体"/>
          <w:sz w:val="24"/>
          <w:szCs w:val="24"/>
        </w:rPr>
        <w:t>二、工作内容</w:t>
      </w:r>
    </w:p>
    <w:p>
      <w:pPr>
        <w:pStyle w:val="23"/>
        <w:spacing w:line="520" w:lineRule="exact"/>
        <w:ind w:firstLine="0" w:firstLineChars="0"/>
        <w:rPr>
          <w:rFonts w:ascii="宋体" w:hAnsi="宋体" w:cs="宋体"/>
          <w:sz w:val="24"/>
          <w:szCs w:val="24"/>
        </w:rPr>
      </w:pPr>
      <w:r>
        <w:rPr>
          <w:rFonts w:hint="eastAsia" w:ascii="宋体" w:hAnsi="宋体" w:cs="宋体"/>
          <w:sz w:val="24"/>
          <w:szCs w:val="24"/>
        </w:rPr>
        <w:t>1、在收到材料后30天内完成《安徽中</w:t>
      </w:r>
      <w:r>
        <w:rPr>
          <w:rFonts w:hint="eastAsia" w:ascii="宋体" w:hAnsi="宋体" w:cs="宋体"/>
          <w:sz w:val="24"/>
          <w:szCs w:val="24"/>
          <w:lang w:val="en-US" w:eastAsia="zh-CN"/>
        </w:rPr>
        <w:t>西</w:t>
      </w:r>
      <w:r>
        <w:rPr>
          <w:rFonts w:hint="eastAsia" w:ascii="宋体" w:hAnsi="宋体" w:cs="宋体"/>
          <w:sz w:val="24"/>
          <w:szCs w:val="24"/>
        </w:rPr>
        <w:t>（</w:t>
      </w:r>
      <w:r>
        <w:rPr>
          <w:rFonts w:hint="eastAsia" w:ascii="宋体" w:hAnsi="宋体" w:cs="宋体"/>
          <w:sz w:val="24"/>
          <w:szCs w:val="24"/>
          <w:lang w:val="en-US" w:eastAsia="zh-CN"/>
        </w:rPr>
        <w:t>安徽新芜经济开发区</w:t>
      </w:r>
      <w:r>
        <w:rPr>
          <w:rFonts w:hint="eastAsia" w:ascii="宋体" w:hAnsi="宋体" w:cs="宋体"/>
          <w:sz w:val="24"/>
          <w:szCs w:val="24"/>
        </w:rPr>
        <w:t>）国际合作产业园创建可行性研究报告》的编制初稿。报告内容需符合《安徽省商务厅关于印发&lt;国际合作产业园评定管理办法（试行）&gt;的通知》文件精神及相关要求。</w:t>
      </w:r>
    </w:p>
    <w:p>
      <w:pPr>
        <w:pStyle w:val="23"/>
        <w:spacing w:line="520" w:lineRule="exact"/>
        <w:ind w:firstLine="0" w:firstLineChars="0"/>
        <w:rPr>
          <w:rFonts w:ascii="宋体" w:hAnsi="宋体" w:cs="宋体"/>
          <w:sz w:val="24"/>
          <w:szCs w:val="24"/>
        </w:rPr>
      </w:pPr>
      <w:r>
        <w:rPr>
          <w:rFonts w:hint="eastAsia" w:ascii="宋体" w:hAnsi="宋体" w:cs="宋体"/>
          <w:sz w:val="24"/>
          <w:szCs w:val="24"/>
        </w:rPr>
        <w:t>2、成立</w:t>
      </w:r>
      <w:r>
        <w:rPr>
          <w:rFonts w:hint="eastAsia" w:ascii="宋体" w:hAnsi="宋体" w:cs="宋体"/>
          <w:sz w:val="24"/>
          <w:szCs w:val="24"/>
          <w:lang w:val="en-US" w:eastAsia="zh-CN"/>
        </w:rPr>
        <w:t>安徽新芜经济开发区</w:t>
      </w:r>
      <w:r>
        <w:rPr>
          <w:rFonts w:hint="eastAsia" w:ascii="宋体" w:hAnsi="宋体" w:cs="宋体"/>
          <w:sz w:val="24"/>
          <w:szCs w:val="24"/>
        </w:rPr>
        <w:t>申报国际合作产业园专项咨询小组，提供申报涉及的相关咨询服务。</w:t>
      </w:r>
    </w:p>
    <w:p>
      <w:pPr>
        <w:pStyle w:val="23"/>
        <w:spacing w:line="520" w:lineRule="exact"/>
        <w:ind w:firstLine="0" w:firstLineChars="0"/>
        <w:rPr>
          <w:rFonts w:ascii="宋体" w:hAnsi="宋体" w:cs="宋体"/>
          <w:sz w:val="24"/>
          <w:szCs w:val="24"/>
        </w:rPr>
      </w:pPr>
      <w:r>
        <w:rPr>
          <w:rFonts w:hint="eastAsia" w:ascii="宋体" w:hAnsi="宋体" w:cs="宋体"/>
          <w:sz w:val="24"/>
          <w:szCs w:val="24"/>
        </w:rPr>
        <w:t>3、服务期为自签约之日起，至安徽省商务厅对采购方创建国际合作产业园组织评审结束。</w:t>
      </w:r>
    </w:p>
    <w:p>
      <w:pPr>
        <w:pStyle w:val="23"/>
        <w:spacing w:line="520" w:lineRule="exact"/>
        <w:ind w:firstLine="0" w:firstLineChars="0"/>
        <w:rPr>
          <w:rFonts w:ascii="宋体" w:hAnsi="宋体" w:cs="宋体"/>
          <w:sz w:val="24"/>
          <w:szCs w:val="24"/>
        </w:rPr>
      </w:pPr>
      <w:r>
        <w:rPr>
          <w:rFonts w:hint="eastAsia" w:ascii="宋体" w:hAnsi="宋体" w:cs="宋体"/>
          <w:sz w:val="24"/>
          <w:szCs w:val="24"/>
        </w:rPr>
        <w:t>三、计价基准</w:t>
      </w:r>
    </w:p>
    <w:p>
      <w:pPr>
        <w:pStyle w:val="23"/>
        <w:spacing w:line="520" w:lineRule="exact"/>
        <w:ind w:firstLine="0" w:firstLineChars="0"/>
        <w:rPr>
          <w:rFonts w:ascii="宋体" w:hAnsi="宋体" w:cs="宋体"/>
          <w:sz w:val="24"/>
          <w:szCs w:val="24"/>
        </w:rPr>
      </w:pPr>
      <w:r>
        <w:rPr>
          <w:rFonts w:hint="eastAsia" w:ascii="宋体" w:hAnsi="宋体" w:cs="宋体"/>
          <w:sz w:val="24"/>
          <w:szCs w:val="24"/>
        </w:rPr>
        <w:t>1、本项目预算为60万元，投标供应商本包总报价不得超过本包预算。</w:t>
      </w:r>
    </w:p>
    <w:p>
      <w:pPr>
        <w:pStyle w:val="23"/>
        <w:spacing w:line="520" w:lineRule="exact"/>
        <w:ind w:firstLine="0" w:firstLineChars="0"/>
        <w:rPr>
          <w:rFonts w:ascii="宋体" w:hAnsi="宋体" w:cs="宋体"/>
          <w:sz w:val="24"/>
          <w:szCs w:val="24"/>
        </w:rPr>
      </w:pPr>
      <w:r>
        <w:rPr>
          <w:rFonts w:hint="eastAsia" w:ascii="宋体" w:hAnsi="宋体" w:cs="宋体"/>
          <w:sz w:val="24"/>
          <w:szCs w:val="24"/>
        </w:rPr>
        <w:t>2、投标供应商的报价包含完成本项目所需的所有材料、劳务、利润、税金、政策性文件规定及合同包含的所有风险、责任、义务等一切应有费用。</w:t>
      </w:r>
    </w:p>
    <w:p>
      <w:pPr>
        <w:pStyle w:val="6"/>
        <w:pageBreakBefore w:val="0"/>
        <w:kinsoku/>
        <w:wordWrap/>
        <w:overflowPunct/>
        <w:topLinePunct w:val="0"/>
        <w:autoSpaceDE/>
        <w:autoSpaceDN/>
        <w:bidi w:val="0"/>
        <w:adjustRightInd/>
        <w:spacing w:line="640" w:lineRule="exact"/>
        <w:textAlignment w:val="auto"/>
        <w:rPr>
          <w:highlight w:val="white"/>
        </w:rPr>
      </w:pPr>
    </w:p>
    <w:p>
      <w:pPr>
        <w:pageBreakBefore w:val="0"/>
        <w:widowControl/>
        <w:kinsoku/>
        <w:wordWrap/>
        <w:overflowPunct/>
        <w:topLinePunct w:val="0"/>
        <w:autoSpaceDE/>
        <w:autoSpaceDN/>
        <w:bidi w:val="0"/>
        <w:adjustRightInd/>
        <w:snapToGrid w:val="0"/>
        <w:spacing w:line="640" w:lineRule="exact"/>
        <w:textAlignment w:val="auto"/>
        <w:rPr>
          <w:b/>
          <w:bCs/>
          <w:sz w:val="3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3F"/>
    <w:rsid w:val="0004170D"/>
    <w:rsid w:val="00423C03"/>
    <w:rsid w:val="00486421"/>
    <w:rsid w:val="004E1FE1"/>
    <w:rsid w:val="006C7BAD"/>
    <w:rsid w:val="0070577C"/>
    <w:rsid w:val="007A4E91"/>
    <w:rsid w:val="00807DD3"/>
    <w:rsid w:val="00863A3F"/>
    <w:rsid w:val="009D4DE2"/>
    <w:rsid w:val="00A24224"/>
    <w:rsid w:val="00A82FBB"/>
    <w:rsid w:val="00AB0514"/>
    <w:rsid w:val="00B73E20"/>
    <w:rsid w:val="00C1627E"/>
    <w:rsid w:val="00C50E19"/>
    <w:rsid w:val="00C869E7"/>
    <w:rsid w:val="00EB5FAC"/>
    <w:rsid w:val="00F16A20"/>
    <w:rsid w:val="00F3130E"/>
    <w:rsid w:val="00F801AA"/>
    <w:rsid w:val="00FC1B7D"/>
    <w:rsid w:val="00FE0DA2"/>
    <w:rsid w:val="04D434EA"/>
    <w:rsid w:val="096E2B92"/>
    <w:rsid w:val="0AFE4A55"/>
    <w:rsid w:val="0D3173F7"/>
    <w:rsid w:val="0EA82317"/>
    <w:rsid w:val="0FA24E88"/>
    <w:rsid w:val="11A922DC"/>
    <w:rsid w:val="175D3C59"/>
    <w:rsid w:val="185B0F91"/>
    <w:rsid w:val="186B7EFA"/>
    <w:rsid w:val="23750CE9"/>
    <w:rsid w:val="238A3B97"/>
    <w:rsid w:val="2CA82C70"/>
    <w:rsid w:val="2EC406D3"/>
    <w:rsid w:val="2F9B5DDD"/>
    <w:rsid w:val="30F85099"/>
    <w:rsid w:val="3A9357E2"/>
    <w:rsid w:val="40464778"/>
    <w:rsid w:val="471C12C4"/>
    <w:rsid w:val="48AE31C2"/>
    <w:rsid w:val="4A9B29F1"/>
    <w:rsid w:val="4D7E26D6"/>
    <w:rsid w:val="4E444D4A"/>
    <w:rsid w:val="4F2C4773"/>
    <w:rsid w:val="520102C7"/>
    <w:rsid w:val="5226474E"/>
    <w:rsid w:val="52723C6A"/>
    <w:rsid w:val="52C95DE1"/>
    <w:rsid w:val="566B53BD"/>
    <w:rsid w:val="581762C9"/>
    <w:rsid w:val="5F8618F1"/>
    <w:rsid w:val="61EA6B28"/>
    <w:rsid w:val="638761F4"/>
    <w:rsid w:val="64E403C9"/>
    <w:rsid w:val="68C8001B"/>
    <w:rsid w:val="71EF7F88"/>
    <w:rsid w:val="768F48E5"/>
    <w:rsid w:val="7A2979F9"/>
    <w:rsid w:val="7B613636"/>
    <w:rsid w:val="7F61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5">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15"/>
    <w:qFormat/>
    <w:uiPriority w:val="99"/>
    <w:pPr>
      <w:keepNext/>
      <w:keepLines/>
      <w:spacing w:before="260" w:after="260" w:line="412" w:lineRule="auto"/>
      <w:outlineLvl w:val="1"/>
    </w:pPr>
    <w:rPr>
      <w:rFonts w:ascii="Arial" w:hAnsi="Arial" w:eastAsia="黑体" w:cs="Arial"/>
      <w:b/>
      <w:bCs/>
      <w:sz w:val="32"/>
      <w:szCs w:val="32"/>
    </w:rPr>
  </w:style>
  <w:style w:type="paragraph" w:styleId="7">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Plain Text"/>
    <w:next w:val="1"/>
    <w:qFormat/>
    <w:uiPriority w:val="0"/>
    <w:pPr>
      <w:widowControl w:val="0"/>
      <w:spacing w:line="360" w:lineRule="auto"/>
      <w:ind w:firstLine="200" w:firstLineChars="200"/>
      <w:jc w:val="both"/>
    </w:pPr>
    <w:rPr>
      <w:rFonts w:ascii="宋体" w:hAnsi="Calibri" w:eastAsia="宋体" w:cs="Times New Roman"/>
      <w:sz w:val="24"/>
      <w:lang w:val="en-US" w:eastAsia="zh-CN" w:bidi="ar-SA"/>
    </w:rPr>
  </w:style>
  <w:style w:type="paragraph" w:styleId="9">
    <w:name w:val="footer"/>
    <w:basedOn w:val="1"/>
    <w:link w:val="20"/>
    <w:semiHidden/>
    <w:unhideWhenUsed/>
    <w:qFormat/>
    <w:uiPriority w:val="99"/>
    <w:pPr>
      <w:tabs>
        <w:tab w:val="center" w:pos="4153"/>
        <w:tab w:val="right" w:pos="8306"/>
      </w:tabs>
      <w:snapToGrid w:val="0"/>
      <w:jc w:val="left"/>
    </w:pPr>
    <w:rPr>
      <w:sz w:val="18"/>
      <w:szCs w:val="18"/>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character" w:styleId="14">
    <w:name w:val="page number"/>
    <w:basedOn w:val="13"/>
    <w:qFormat/>
    <w:uiPriority w:val="0"/>
  </w:style>
  <w:style w:type="character" w:customStyle="1" w:styleId="15">
    <w:name w:val="标题 2 Char"/>
    <w:basedOn w:val="13"/>
    <w:link w:val="6"/>
    <w:qFormat/>
    <w:uiPriority w:val="99"/>
    <w:rPr>
      <w:rFonts w:ascii="Arial" w:hAnsi="Arial" w:eastAsia="黑体" w:cs="Arial"/>
      <w:b/>
      <w:bCs/>
      <w:sz w:val="32"/>
      <w:szCs w:val="32"/>
    </w:rPr>
  </w:style>
  <w:style w:type="paragraph" w:customStyle="1" w:styleId="16">
    <w:name w:val="Normal_0"/>
    <w:basedOn w:val="1"/>
    <w:qFormat/>
    <w:uiPriority w:val="0"/>
    <w:pPr>
      <w:widowControl/>
      <w:jc w:val="left"/>
    </w:pPr>
    <w:rPr>
      <w:kern w:val="0"/>
      <w:sz w:val="24"/>
      <w:szCs w:val="24"/>
    </w:rPr>
  </w:style>
  <w:style w:type="paragraph" w:customStyle="1" w:styleId="17">
    <w:name w:val="Normal_1"/>
    <w:basedOn w:val="1"/>
    <w:qFormat/>
    <w:uiPriority w:val="0"/>
    <w:pPr>
      <w:widowControl/>
      <w:jc w:val="left"/>
    </w:pPr>
    <w:rPr>
      <w:rFonts w:ascii="Times New Roman" w:hAnsi="Times New Roman" w:cs="Times New Roman"/>
      <w:kern w:val="0"/>
      <w:sz w:val="24"/>
      <w:szCs w:val="24"/>
    </w:rPr>
  </w:style>
  <w:style w:type="paragraph" w:customStyle="1" w:styleId="18">
    <w:name w:val="正文_1_0"/>
    <w:basedOn w:val="1"/>
    <w:qFormat/>
    <w:uiPriority w:val="0"/>
  </w:style>
  <w:style w:type="character" w:customStyle="1" w:styleId="19">
    <w:name w:val="页眉 Char"/>
    <w:basedOn w:val="13"/>
    <w:link w:val="10"/>
    <w:semiHidden/>
    <w:qFormat/>
    <w:uiPriority w:val="99"/>
    <w:rPr>
      <w:rFonts w:ascii="Calibri" w:hAnsi="Calibri" w:eastAsia="宋体" w:cs="宋体"/>
      <w:sz w:val="18"/>
      <w:szCs w:val="18"/>
    </w:rPr>
  </w:style>
  <w:style w:type="character" w:customStyle="1" w:styleId="20">
    <w:name w:val="页脚 Char"/>
    <w:basedOn w:val="13"/>
    <w:link w:val="9"/>
    <w:semiHidden/>
    <w:qFormat/>
    <w:uiPriority w:val="99"/>
    <w:rPr>
      <w:rFonts w:ascii="Calibri" w:hAnsi="Calibri" w:eastAsia="宋体" w:cs="宋体"/>
      <w:sz w:val="18"/>
      <w:szCs w:val="18"/>
    </w:rPr>
  </w:style>
  <w:style w:type="character" w:customStyle="1" w:styleId="21">
    <w:name w:val="标题 1 Char"/>
    <w:basedOn w:val="13"/>
    <w:link w:val="5"/>
    <w:qFormat/>
    <w:uiPriority w:val="9"/>
    <w:rPr>
      <w:rFonts w:ascii="Calibri" w:hAnsi="Calibri" w:eastAsia="宋体" w:cs="宋体"/>
      <w:b/>
      <w:bCs/>
      <w:kern w:val="44"/>
      <w:sz w:val="44"/>
      <w:szCs w:val="44"/>
    </w:rPr>
  </w:style>
  <w:style w:type="character" w:customStyle="1" w:styleId="22">
    <w:name w:val="列出段落 Char"/>
    <w:link w:val="23"/>
    <w:qFormat/>
    <w:uiPriority w:val="0"/>
    <w:rPr>
      <w:rFonts w:ascii="Calibri" w:hAnsi="Calibri"/>
    </w:rPr>
  </w:style>
  <w:style w:type="paragraph" w:styleId="23">
    <w:name w:val="List Paragraph"/>
    <w:basedOn w:val="1"/>
    <w:link w:val="22"/>
    <w:qFormat/>
    <w:uiPriority w:val="0"/>
    <w:pPr>
      <w:ind w:firstLine="420" w:firstLineChars="200"/>
    </w:pPr>
    <w:rPr>
      <w:rFonts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747</Words>
  <Characters>4263</Characters>
  <Lines>35</Lines>
  <Paragraphs>9</Paragraphs>
  <TotalTime>2</TotalTime>
  <ScaleCrop>false</ScaleCrop>
  <LinksUpToDate>false</LinksUpToDate>
  <CharactersWithSpaces>5001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2020-05-19T01:49:00Z</dcterms:created>
  <dc:creator>Administrator</dc:creator>
  <cp:lastModifiedBy>优然</cp:lastModifiedBy>
  <dcterms:modified xsi:type="dcterms:W3CDTF">2020-05-28T08:36:12Z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