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b/>
          <w:color w:val="000000" w:themeColor="text1"/>
          <w:sz w:val="32"/>
          <w:szCs w:val="32"/>
          <w:lang w:val="en-US" w:eastAsia="zh-CN"/>
        </w:rPr>
      </w:pPr>
      <w:r>
        <w:rPr>
          <w:rFonts w:hint="eastAsia" w:asciiTheme="majorEastAsia" w:hAnsiTheme="majorEastAsia" w:eastAsiaTheme="majorEastAsia"/>
          <w:b/>
          <w:color w:val="000000" w:themeColor="text1"/>
          <w:sz w:val="32"/>
          <w:szCs w:val="32"/>
          <w:lang w:val="en-US" w:eastAsia="zh-CN"/>
        </w:rPr>
        <w:t>附件2：</w:t>
      </w:r>
      <w:r>
        <w:rPr>
          <w:rFonts w:hint="eastAsia" w:asciiTheme="majorEastAsia" w:hAnsiTheme="majorEastAsia" w:eastAsiaTheme="majorEastAsia"/>
          <w:b/>
          <w:color w:val="000000" w:themeColor="text1"/>
          <w:sz w:val="32"/>
          <w:szCs w:val="32"/>
        </w:rPr>
        <w:t>芜湖市公共资源交易中心各分中心“零跑路”交易事项清单</w:t>
      </w:r>
      <w:r>
        <w:rPr>
          <w:rFonts w:hint="eastAsia" w:asciiTheme="majorEastAsia" w:hAnsiTheme="majorEastAsia" w:eastAsiaTheme="majorEastAsia"/>
          <w:b/>
          <w:color w:val="000000" w:themeColor="text1"/>
          <w:sz w:val="32"/>
          <w:szCs w:val="32"/>
          <w:lang w:val="en-US" w:eastAsia="zh-CN"/>
        </w:rPr>
        <w:t>(2.0)</w:t>
      </w:r>
    </w:p>
    <w:tbl>
      <w:tblPr>
        <w:tblStyle w:val="6"/>
        <w:tblW w:w="15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993"/>
        <w:gridCol w:w="2184"/>
        <w:gridCol w:w="5940"/>
        <w:gridCol w:w="2895"/>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序号</w:t>
            </w:r>
          </w:p>
        </w:tc>
        <w:tc>
          <w:tcPr>
            <w:tcW w:w="993" w:type="dxa"/>
            <w:vMerge w:val="restart"/>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事项类别</w:t>
            </w:r>
          </w:p>
        </w:tc>
        <w:tc>
          <w:tcPr>
            <w:tcW w:w="2184" w:type="dxa"/>
            <w:vMerge w:val="restart"/>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事项名称</w:t>
            </w:r>
          </w:p>
        </w:tc>
        <w:tc>
          <w:tcPr>
            <w:tcW w:w="5940" w:type="dxa"/>
            <w:vMerge w:val="restart"/>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事项说明</w:t>
            </w:r>
          </w:p>
        </w:tc>
        <w:tc>
          <w:tcPr>
            <w:tcW w:w="5755" w:type="dxa"/>
            <w:gridSpan w:val="2"/>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办理途径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jc w:val="center"/>
              <w:rPr>
                <w:rFonts w:asciiTheme="minorEastAsia" w:hAnsiTheme="minorEastAsia"/>
                <w:b/>
                <w:color w:val="000000" w:themeColor="text1"/>
                <w:sz w:val="32"/>
                <w:szCs w:val="32"/>
              </w:rPr>
            </w:pPr>
          </w:p>
        </w:tc>
        <w:tc>
          <w:tcPr>
            <w:tcW w:w="993" w:type="dxa"/>
            <w:vMerge w:val="continue"/>
            <w:vAlign w:val="center"/>
          </w:tcPr>
          <w:p>
            <w:pPr>
              <w:jc w:val="center"/>
              <w:rPr>
                <w:rFonts w:asciiTheme="minorEastAsia" w:hAnsiTheme="minorEastAsia"/>
                <w:b/>
                <w:color w:val="000000" w:themeColor="text1"/>
                <w:sz w:val="32"/>
                <w:szCs w:val="32"/>
              </w:rPr>
            </w:pPr>
          </w:p>
        </w:tc>
        <w:tc>
          <w:tcPr>
            <w:tcW w:w="2184" w:type="dxa"/>
            <w:vMerge w:val="continue"/>
            <w:vAlign w:val="center"/>
          </w:tcPr>
          <w:p>
            <w:pPr>
              <w:jc w:val="center"/>
              <w:rPr>
                <w:rFonts w:asciiTheme="minorEastAsia" w:hAnsiTheme="minorEastAsia"/>
                <w:b/>
                <w:color w:val="000000" w:themeColor="text1"/>
                <w:sz w:val="32"/>
                <w:szCs w:val="32"/>
              </w:rPr>
            </w:pPr>
          </w:p>
        </w:tc>
        <w:tc>
          <w:tcPr>
            <w:tcW w:w="5940" w:type="dxa"/>
            <w:vMerge w:val="continue"/>
            <w:vAlign w:val="center"/>
          </w:tcPr>
          <w:p>
            <w:pPr>
              <w:jc w:val="center"/>
              <w:rPr>
                <w:rFonts w:asciiTheme="minorEastAsia" w:hAnsiTheme="minorEastAsia"/>
                <w:b/>
                <w:color w:val="000000" w:themeColor="text1"/>
                <w:sz w:val="32"/>
                <w:szCs w:val="32"/>
              </w:rPr>
            </w:pPr>
          </w:p>
        </w:tc>
        <w:tc>
          <w:tcPr>
            <w:tcW w:w="2895" w:type="dxa"/>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办理系统</w:t>
            </w:r>
          </w:p>
        </w:tc>
        <w:tc>
          <w:tcPr>
            <w:tcW w:w="2860" w:type="dxa"/>
            <w:vAlign w:val="center"/>
          </w:tcPr>
          <w:p>
            <w:pPr>
              <w:jc w:val="center"/>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具体栏目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w:t>
            </w:r>
          </w:p>
        </w:tc>
        <w:tc>
          <w:tcPr>
            <w:tcW w:w="993" w:type="dxa"/>
            <w:vMerge w:val="restart"/>
            <w:vAlign w:val="center"/>
          </w:tcPr>
          <w:p>
            <w:pPr>
              <w:jc w:val="center"/>
              <w:rPr>
                <w:color w:val="000000" w:themeColor="text1"/>
              </w:rPr>
            </w:pPr>
            <w:r>
              <w:rPr>
                <w:rFonts w:hint="eastAsia" w:asciiTheme="minorEastAsia" w:hAnsiTheme="minorEastAsia"/>
                <w:color w:val="000000" w:themeColor="text1"/>
                <w:sz w:val="30"/>
                <w:szCs w:val="30"/>
              </w:rPr>
              <w:t>工程建设类</w:t>
            </w:r>
          </w:p>
        </w:tc>
        <w:tc>
          <w:tcPr>
            <w:tcW w:w="2184" w:type="dxa"/>
            <w:vAlign w:val="center"/>
          </w:tcPr>
          <w:p>
            <w:pPr>
              <w:widowControl/>
              <w:jc w:val="center"/>
              <w:rPr>
                <w:rFonts w:asciiTheme="minorEastAsia" w:hAnsiTheme="minorEastAsia"/>
                <w:color w:val="000000" w:themeColor="text1"/>
                <w:sz w:val="32"/>
                <w:szCs w:val="32"/>
              </w:rPr>
            </w:pPr>
            <w:r>
              <w:rPr>
                <w:rFonts w:hint="eastAsia" w:ascii="仿宋" w:hAnsi="仿宋" w:eastAsia="仿宋" w:cs="仿宋"/>
                <w:color w:val="000000" w:themeColor="text1"/>
                <w:sz w:val="24"/>
                <w:szCs w:val="24"/>
              </w:rPr>
              <w:t>招标代理机构选</w:t>
            </w:r>
            <w:r>
              <w:rPr>
                <w:rFonts w:hint="eastAsia" w:ascii="仿宋" w:hAnsi="仿宋" w:eastAsia="仿宋" w:cs="仿宋"/>
                <w:color w:val="000000" w:themeColor="text1"/>
                <w:sz w:val="24"/>
                <w:szCs w:val="24"/>
                <w:lang w:eastAsia="zh-CN"/>
              </w:rPr>
              <w:t>定</w:t>
            </w:r>
          </w:p>
        </w:tc>
        <w:tc>
          <w:tcPr>
            <w:tcW w:w="5940" w:type="dxa"/>
            <w:vAlign w:val="center"/>
          </w:tcPr>
          <w:p>
            <w:pPr>
              <w:jc w:val="center"/>
              <w:rPr>
                <w:rFonts w:asciiTheme="minorEastAsia" w:hAnsiTheme="minorEastAsia"/>
                <w:color w:val="000000" w:themeColor="text1"/>
                <w:sz w:val="32"/>
                <w:szCs w:val="32"/>
              </w:rPr>
            </w:pPr>
            <w:r>
              <w:rPr>
                <w:rFonts w:hint="eastAsia" w:ascii="仿宋" w:hAnsi="仿宋" w:eastAsia="仿宋" w:cs="仿宋"/>
                <w:color w:val="000000" w:themeColor="text1"/>
                <w:sz w:val="24"/>
                <w:szCs w:val="24"/>
              </w:rPr>
              <w:t>招标人填写项目信息，采用直接指定方式选取招标代理机构</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Theme="minorEastAsia" w:hAnsiTheme="minorEastAsia"/>
                <w:color w:val="000000" w:themeColor="text1"/>
                <w:sz w:val="32"/>
                <w:szCs w:val="32"/>
              </w:rPr>
            </w:pPr>
            <w:r>
              <w:rPr>
                <w:rFonts w:hint="eastAsia" w:ascii="仿宋" w:hAnsi="仿宋" w:eastAsia="仿宋" w:cs="仿宋"/>
                <w:color w:val="000000" w:themeColor="text1"/>
                <w:sz w:val="24"/>
                <w:szCs w:val="24"/>
              </w:rPr>
              <w:t>招标代理中介服务超市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widowControl/>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项目登记</w:t>
            </w:r>
          </w:p>
        </w:tc>
        <w:tc>
          <w:tcPr>
            <w:tcW w:w="5940"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招标人（代理机构）填写进场交易的工程类项目信息</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项目注册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3</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开评标场地预约</w:t>
            </w:r>
          </w:p>
        </w:tc>
        <w:tc>
          <w:tcPr>
            <w:tcW w:w="5940"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招标人（代理机构）预约或变更交易项目开评标时间及地点</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开评标场地预约/开评标场地变更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4</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招标文件获取</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投标人直接在网站下载相关招标文件</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芜湖电子招投标交易平台-工程业务-招标文件领取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5</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投标文件递交</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利用数字证书直接在交易系统内上传电子投标文件</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芜湖电子招投标交易平台-工程业务-上传投标文件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6</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评标专家抽取</w:t>
            </w:r>
          </w:p>
        </w:tc>
        <w:tc>
          <w:tcPr>
            <w:tcW w:w="5940"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招标人（代理机构）在系统中提交评标专家抽取申请，在省综合评标评审专家库中随机抽取、语音通知评标专家</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Theme="minorEastAsia" w:hAnsiTheme="minorEastAsia" w:eastAsiaTheme="minorEastAsia" w:cstheme="minorBidi"/>
                <w:color w:val="000000" w:themeColor="text1"/>
                <w:kern w:val="2"/>
                <w:sz w:val="32"/>
                <w:szCs w:val="32"/>
                <w:lang w:val="en-US" w:eastAsia="zh-CN" w:bidi="ar-SA"/>
              </w:rPr>
            </w:pPr>
            <w:r>
              <w:rPr>
                <w:rFonts w:hint="eastAsia" w:ascii="仿宋" w:hAnsi="仿宋" w:eastAsia="仿宋" w:cs="仿宋"/>
                <w:color w:val="000000" w:themeColor="text1"/>
                <w:sz w:val="24"/>
                <w:szCs w:val="24"/>
              </w:rPr>
              <w:t>组建评标委员会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7</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提交投标保证金</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投标人采用网银转账或电汇方式提交投标保证金，并与投标项目关联</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保证金管理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8</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办理投标电子保函</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投标人通过芜湖市公共资源交易中心电子保函服务平台在线开具和提交</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保证金管理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9</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开标</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交易项目通过不见面开标大厅开标</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10</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退还投标保证金</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根据交易系统推送指令，保证金管理系统自动原路退还投标保证金</w:t>
            </w:r>
          </w:p>
        </w:tc>
        <w:tc>
          <w:tcPr>
            <w:tcW w:w="2895"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系统自动处理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11</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提交履约保证金</w:t>
            </w:r>
          </w:p>
        </w:tc>
        <w:tc>
          <w:tcPr>
            <w:tcW w:w="594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投标人采用网银转账或电汇方式提交履约保证金</w:t>
            </w:r>
          </w:p>
        </w:tc>
        <w:tc>
          <w:tcPr>
            <w:tcW w:w="2895" w:type="dxa"/>
            <w:vAlign w:val="center"/>
          </w:tcPr>
          <w:p>
            <w:pPr>
              <w:jc w:val="center"/>
              <w:rPr>
                <w:rFonts w:asciiTheme="minorHAnsi" w:hAnsiTheme="minorHAnsi" w:eastAsiaTheme="minorEastAsia" w:cstheme="minorBidi"/>
                <w:color w:val="000000" w:themeColor="text1"/>
                <w:kern w:val="2"/>
                <w:sz w:val="21"/>
                <w:szCs w:val="22"/>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保证金管理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12</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val="en-US" w:eastAsia="zh-CN"/>
              </w:rPr>
              <w:t>退付履约保证金</w:t>
            </w:r>
          </w:p>
        </w:tc>
        <w:tc>
          <w:tcPr>
            <w:tcW w:w="5940"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val="en-US" w:eastAsia="zh-CN"/>
              </w:rPr>
              <w:t>投标人上传履约保证金的退付材料，招标人在线审核签章，中心审核无误后办理履约保证金退付</w:t>
            </w:r>
          </w:p>
        </w:tc>
        <w:tc>
          <w:tcPr>
            <w:tcW w:w="2895"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val="en-US" w:eastAsia="zh-CN"/>
              </w:rPr>
              <w:t>履约保证金退付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13</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中标通知书领取</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利用CA签章技术和电子水印防伪技术，实现中标通知书的在线签章、网上打印等功能</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中标通知书打印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14</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线上异议</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投标人可以通过芜湖市公共资源电子交易平台线上填写异议内容，上传异议材料</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工程业务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15</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线上投诉</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投标人可以通过芜湖市公共资源电子交易平台线上填写投诉内容，上传投诉材料</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工程业务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16</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合同在线签订</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招标人和中标单位在线签订项目合同</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芜湖电子招投标交易平台-工程业务-合同在线签订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17</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合同在线公开</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招标人在线上传合同电子版并公开</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芜湖电子招投标交易平台-工程业务-合同备案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18</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履约信息公开</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招标人在线公开项目履约信息</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芜湖电子招投标交易平台-工程业务-合同履约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19</w:t>
            </w:r>
          </w:p>
        </w:tc>
        <w:tc>
          <w:tcPr>
            <w:tcW w:w="993" w:type="dxa"/>
            <w:vMerge w:val="restart"/>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0"/>
                <w:szCs w:val="30"/>
              </w:rPr>
              <w:t>政府采购类</w:t>
            </w:r>
          </w:p>
        </w:tc>
        <w:tc>
          <w:tcPr>
            <w:tcW w:w="2184" w:type="dxa"/>
            <w:vAlign w:val="center"/>
          </w:tcPr>
          <w:p>
            <w:pPr>
              <w:widowControl/>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招标代理机构选</w:t>
            </w:r>
            <w:r>
              <w:rPr>
                <w:rFonts w:hint="eastAsia" w:ascii="仿宋" w:hAnsi="仿宋" w:eastAsia="仿宋" w:cs="仿宋"/>
                <w:color w:val="000000" w:themeColor="text1"/>
                <w:sz w:val="24"/>
                <w:szCs w:val="24"/>
                <w:lang w:eastAsia="zh-CN"/>
              </w:rPr>
              <w:t>定</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招标人填写项目信息，采用直接指定方式选取招标代理机构</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招标代理中介服务超市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20</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项目登记</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采购人（代理机构）填写进场交易的采购类项目信息</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21</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开评标场地预约</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采购人（代理机构）预约或变更交易项目开评标时间及地点</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场地预约/场地变更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22</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招标文件获取</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投标人直接在网站下载相关招标文件</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芜湖电子招投标交易平台-采购业务-招标文件下载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23</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投标文件递交</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利用数字证书直接在交易系统内上传电子投标文件</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芜湖电子招投标交易平台-采购业务-上传投标文件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24</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评标专家抽取</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交易中心从安徽省综合评标专家库中随机抽取、语音通知评审专家</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组建评标委员会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25</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开标</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交易项目通过不见面开标大厅开标</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26</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提交履约保证金</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投标人采用网银转账或电汇方式提交履约保证金</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保证金管理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27</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val="en-US" w:eastAsia="zh-CN"/>
              </w:rPr>
              <w:t>退付履约保证金</w:t>
            </w:r>
          </w:p>
        </w:tc>
        <w:tc>
          <w:tcPr>
            <w:tcW w:w="5940" w:type="dxa"/>
            <w:vAlign w:val="center"/>
          </w:tcPr>
          <w:p>
            <w:pPr>
              <w:jc w:val="center"/>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投标人上传履约保证金的退付材料，招标人在线审核签章，中心审核无误后办理履约保证金退付</w:t>
            </w:r>
          </w:p>
        </w:tc>
        <w:tc>
          <w:tcPr>
            <w:tcW w:w="2895"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lang w:val="en-US" w:eastAsia="zh-CN"/>
              </w:rPr>
              <w:t>履约保证金退付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color w:val="000000" w:themeColor="text1"/>
                <w:sz w:val="32"/>
                <w:szCs w:val="32"/>
                <w:lang w:val="en-US" w:eastAsia="zh-CN"/>
              </w:rPr>
              <w:t>28</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中标通知书领取</w:t>
            </w:r>
          </w:p>
        </w:tc>
        <w:tc>
          <w:tcPr>
            <w:tcW w:w="5940" w:type="dxa"/>
            <w:vAlign w:val="center"/>
          </w:tcPr>
          <w:p>
            <w:pPr>
              <w:jc w:val="center"/>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rPr>
              <w:t>利用CA签章技术和电子水印防伪技术，实现中标通知书的在线签章、网上打印等功能</w:t>
            </w:r>
          </w:p>
        </w:tc>
        <w:tc>
          <w:tcPr>
            <w:tcW w:w="2895" w:type="dxa"/>
            <w:vAlign w:val="center"/>
          </w:tcPr>
          <w:p>
            <w:pPr>
              <w:jc w:val="center"/>
              <w:rPr>
                <w:rFonts w:hint="eastAsia" w:asciiTheme="minorHAnsi" w:hAnsiTheme="minorHAnsi" w:eastAsiaTheme="minorEastAsia" w:cstheme="minorBidi"/>
                <w:color w:val="000000" w:themeColor="text1"/>
                <w:kern w:val="2"/>
                <w:sz w:val="21"/>
                <w:szCs w:val="22"/>
                <w:lang w:val="en-US" w:eastAsia="zh-CN" w:bidi="ar-SA"/>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hint="eastAsia" w:ascii="仿宋" w:hAnsi="仿宋" w:eastAsia="仿宋" w:cs="仿宋"/>
                <w:color w:val="000000" w:themeColor="text1"/>
                <w:kern w:val="2"/>
                <w:sz w:val="24"/>
                <w:szCs w:val="24"/>
                <w:lang w:val="en-US" w:eastAsia="zh-CN" w:bidi="ar-SA"/>
              </w:rPr>
            </w:pPr>
            <w:r>
              <w:rPr>
                <w:rFonts w:hint="eastAsia" w:ascii="仿宋" w:hAnsi="仿宋" w:eastAsia="仿宋" w:cs="仿宋"/>
                <w:color w:val="000000" w:themeColor="text1"/>
                <w:sz w:val="24"/>
                <w:szCs w:val="24"/>
              </w:rPr>
              <w:t>中标通知书打印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2</w:t>
            </w:r>
            <w:r>
              <w:rPr>
                <w:rFonts w:hint="eastAsia" w:asciiTheme="minorEastAsia" w:hAnsiTheme="minorEastAsia"/>
                <w:color w:val="000000" w:themeColor="text1"/>
                <w:sz w:val="32"/>
                <w:szCs w:val="32"/>
                <w:lang w:val="en-US" w:eastAsia="zh-CN"/>
              </w:rPr>
              <w:t>9</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线上质疑</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投标人可以通过芜湖市公共资源电子交易平台线上填写质疑内容，上传质疑材料</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color w:val="000000" w:themeColor="text1"/>
                <w:sz w:val="32"/>
                <w:szCs w:val="32"/>
                <w:lang w:val="en-US" w:eastAsia="zh-CN"/>
              </w:rPr>
              <w:t>30</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线上投诉</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投标人可以通过芜湖市公共资源电子交易平台线上填写投诉内容，上传投诉材料</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1</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合同在线签订</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采购人和中标供应商在线签订项目合同</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芜湖电子招投标交易平台-采购业务-合同在线签订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2</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合同在线公开</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采购人在线上传合同电子版并公开</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芜湖电子招投标交易平台-采购业务-合同备案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3</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履约信息公开</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采购人在线公开项目履约信息</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芜湖电子招投标交易平台-采购业务-合同履约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4</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徽采商城</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采购人在徽采商城采购供应商提供的物品</w:t>
            </w:r>
          </w:p>
        </w:tc>
        <w:tc>
          <w:tcPr>
            <w:tcW w:w="2895"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徽采商城芜湖站</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徽采商城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5</w:t>
            </w:r>
          </w:p>
        </w:tc>
        <w:tc>
          <w:tcPr>
            <w:tcW w:w="993" w:type="dxa"/>
            <w:vMerge w:val="restart"/>
            <w:vAlign w:val="center"/>
          </w:tcPr>
          <w:p>
            <w:pPr>
              <w:jc w:val="center"/>
              <w:rPr>
                <w:rFonts w:asciiTheme="minorEastAsia" w:hAnsiTheme="minorEastAsia"/>
                <w:color w:val="000000" w:themeColor="text1"/>
                <w:sz w:val="32"/>
                <w:szCs w:val="32"/>
              </w:rPr>
            </w:pPr>
            <w:r>
              <w:rPr>
                <w:rFonts w:hint="eastAsia" w:asciiTheme="minorEastAsia" w:hAnsiTheme="minorEastAsia"/>
                <w:color w:val="000000" w:themeColor="text1"/>
                <w:sz w:val="30"/>
                <w:szCs w:val="30"/>
              </w:rPr>
              <w:t>综合事项类</w:t>
            </w: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办理CA锁</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市场主体办理用于参与各类交易活动身份认证 、电子签章的加密锁</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主体登录-CA办理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6</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主体库信息登记</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市场主体（法人）自主登记基本信息、人员信息、业绩信息及其他信息</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主体登录-主体库信息维护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7</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交易工具、软件下载</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市场主体获取编制招标文件、投标文件的工具软件</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办事指南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8</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示范文本下载</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市场主体获取参与交易活动所需的各类资料、文件 、表单等参考示范文本</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办事指南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3</w:t>
            </w:r>
            <w:r>
              <w:rPr>
                <w:rFonts w:hint="eastAsia" w:asciiTheme="minorEastAsia" w:hAnsiTheme="minorEastAsia"/>
                <w:color w:val="000000" w:themeColor="text1"/>
                <w:sz w:val="32"/>
                <w:szCs w:val="32"/>
                <w:lang w:val="en-US" w:eastAsia="zh-CN"/>
              </w:rPr>
              <w:t>9</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查询项目交易信息</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市场主体查看进场项目各类招标(采购、出让)公告、中标(成交)结果公告,获取项目信息</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首页-交易信息栏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color w:val="000000" w:themeColor="text1"/>
                <w:sz w:val="32"/>
                <w:szCs w:val="32"/>
                <w:lang w:val="en-US" w:eastAsia="zh-CN"/>
              </w:rPr>
              <w:t>40</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业务咨询</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市场主体电话咨询各类公共资源交易业务问题</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办事指南中载明的咨询电话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4</w:t>
            </w:r>
            <w:r>
              <w:rPr>
                <w:rFonts w:hint="eastAsia" w:asciiTheme="minorEastAsia" w:hAnsiTheme="minorEastAsia"/>
                <w:color w:val="000000" w:themeColor="text1"/>
                <w:sz w:val="32"/>
                <w:szCs w:val="32"/>
                <w:lang w:val="en-US" w:eastAsia="zh-CN"/>
              </w:rPr>
              <w:t>1</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省主体库人员变更</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安徽省公共资源交易市场主体人员发生调动的，需联系原单位在系统中作“离职”操作，实现人员调动办理。如原单位不能变更的，请在芜湖电子招投标交易平台中进行线上发起人员变更的申请操作</w:t>
            </w:r>
            <w:bookmarkStart w:id="0" w:name="_GoBack"/>
            <w:bookmarkEnd w:id="0"/>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芜湖电子招投标交易平台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4</w:t>
            </w:r>
            <w:r>
              <w:rPr>
                <w:rFonts w:hint="eastAsia" w:asciiTheme="minorEastAsia" w:hAnsiTheme="minorEastAsia"/>
                <w:color w:val="000000" w:themeColor="text1"/>
                <w:sz w:val="32"/>
                <w:szCs w:val="32"/>
                <w:lang w:val="en-US" w:eastAsia="zh-CN"/>
              </w:rPr>
              <w:t>2</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Merge w:val="restart"/>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系统操作咨询</w:t>
            </w: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市场主体咨询交易系统。</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无为市咨询电话：</w:t>
            </w:r>
          </w:p>
          <w:p>
            <w:pPr>
              <w:jc w:val="center"/>
              <w:rPr>
                <w:rFonts w:ascii="宋体" w:hAnsi="宋体" w:eastAsia="仿宋" w:cs="宋体"/>
                <w:color w:val="000000" w:themeColor="text1"/>
                <w:sz w:val="24"/>
                <w:szCs w:val="24"/>
              </w:rPr>
            </w:pPr>
            <w:r>
              <w:rPr>
                <w:rFonts w:hint="eastAsia" w:ascii="仿宋" w:hAnsi="仿宋" w:eastAsia="仿宋" w:cs="仿宋"/>
                <w:color w:val="000000" w:themeColor="text1"/>
                <w:sz w:val="24"/>
                <w:szCs w:val="24"/>
              </w:rPr>
              <w:t>0553-</w:t>
            </w:r>
            <w:r>
              <w:rPr>
                <w:rFonts w:hint="eastAsia" w:ascii="宋体" w:hAnsi="宋体" w:eastAsia="宋体" w:cs="宋体"/>
                <w:color w:val="000000" w:themeColor="text1"/>
                <w:sz w:val="24"/>
                <w:szCs w:val="24"/>
              </w:rPr>
              <w:t>2521393</w:t>
            </w:r>
          </w:p>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南陵县咨询电话：0553-2395701</w:t>
            </w:r>
          </w:p>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湾沚</w:t>
            </w:r>
            <w:r>
              <w:rPr>
                <w:rFonts w:hint="eastAsia" w:ascii="仿宋" w:hAnsi="仿宋" w:eastAsia="仿宋" w:cs="仿宋"/>
                <w:color w:val="000000" w:themeColor="text1"/>
                <w:sz w:val="24"/>
                <w:szCs w:val="24"/>
              </w:rPr>
              <w:t>区咨询电话：0553-2567855</w:t>
            </w:r>
          </w:p>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繁昌区咨询电话：0553-2588756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4</w:t>
            </w:r>
            <w:r>
              <w:rPr>
                <w:rFonts w:hint="eastAsia" w:asciiTheme="minorEastAsia" w:hAnsiTheme="minorEastAsia"/>
                <w:color w:val="000000" w:themeColor="text1"/>
                <w:sz w:val="32"/>
                <w:szCs w:val="32"/>
                <w:lang w:val="en-US" w:eastAsia="zh-CN"/>
              </w:rPr>
              <w:t>3</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Merge w:val="continue"/>
            <w:vAlign w:val="center"/>
          </w:tcPr>
          <w:p>
            <w:pPr>
              <w:jc w:val="center"/>
              <w:rPr>
                <w:rFonts w:ascii="仿宋" w:hAnsi="仿宋" w:eastAsia="仿宋" w:cs="仿宋"/>
                <w:color w:val="000000" w:themeColor="text1"/>
                <w:sz w:val="24"/>
                <w:szCs w:val="24"/>
              </w:rPr>
            </w:pP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工具软件操作。</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咨询电话:0553-3121801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rFonts w:hint="eastAsia" w:asciiTheme="minorEastAsia" w:hAnsiTheme="minorEastAsia" w:eastAsiaTheme="minorEastAsia"/>
                <w:color w:val="000000" w:themeColor="text1"/>
                <w:sz w:val="32"/>
                <w:szCs w:val="32"/>
                <w:lang w:eastAsia="zh-CN"/>
              </w:rPr>
            </w:pPr>
            <w:r>
              <w:rPr>
                <w:rFonts w:hint="eastAsia" w:asciiTheme="minorEastAsia" w:hAnsiTheme="minorEastAsia"/>
                <w:color w:val="000000" w:themeColor="text1"/>
                <w:sz w:val="32"/>
                <w:szCs w:val="32"/>
              </w:rPr>
              <w:t>4</w:t>
            </w:r>
            <w:r>
              <w:rPr>
                <w:rFonts w:hint="eastAsia" w:asciiTheme="minorEastAsia" w:hAnsiTheme="minorEastAsia"/>
                <w:color w:val="000000" w:themeColor="text1"/>
                <w:sz w:val="32"/>
                <w:szCs w:val="32"/>
                <w:lang w:val="en-US" w:eastAsia="zh-CN"/>
              </w:rPr>
              <w:t>4</w:t>
            </w:r>
          </w:p>
        </w:tc>
        <w:tc>
          <w:tcPr>
            <w:tcW w:w="993" w:type="dxa"/>
            <w:vMerge w:val="continue"/>
            <w:vAlign w:val="center"/>
          </w:tcPr>
          <w:p>
            <w:pPr>
              <w:jc w:val="center"/>
              <w:rPr>
                <w:rFonts w:asciiTheme="minorEastAsia" w:hAnsiTheme="minorEastAsia"/>
                <w:color w:val="000000" w:themeColor="text1"/>
                <w:sz w:val="32"/>
                <w:szCs w:val="32"/>
              </w:rPr>
            </w:pPr>
          </w:p>
        </w:tc>
        <w:tc>
          <w:tcPr>
            <w:tcW w:w="2184" w:type="dxa"/>
            <w:vMerge w:val="continue"/>
            <w:vAlign w:val="center"/>
          </w:tcPr>
          <w:p>
            <w:pPr>
              <w:jc w:val="center"/>
              <w:rPr>
                <w:rFonts w:ascii="仿宋" w:hAnsi="仿宋" w:eastAsia="仿宋" w:cs="仿宋"/>
                <w:color w:val="000000" w:themeColor="text1"/>
                <w:sz w:val="24"/>
                <w:szCs w:val="24"/>
              </w:rPr>
            </w:pPr>
          </w:p>
        </w:tc>
        <w:tc>
          <w:tcPr>
            <w:tcW w:w="594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CA证书相关问题。</w:t>
            </w:r>
          </w:p>
        </w:tc>
        <w:tc>
          <w:tcPr>
            <w:tcW w:w="2895" w:type="dxa"/>
            <w:vAlign w:val="center"/>
          </w:tcPr>
          <w:p>
            <w:pPr>
              <w:jc w:val="center"/>
              <w:rPr>
                <w:color w:val="000000" w:themeColor="text1"/>
              </w:rPr>
            </w:pPr>
            <w:r>
              <w:rPr>
                <w:rFonts w:hint="eastAsia" w:ascii="仿宋" w:hAnsi="仿宋" w:eastAsia="仿宋" w:cs="仿宋"/>
                <w:color w:val="000000" w:themeColor="text1"/>
                <w:sz w:val="24"/>
                <w:szCs w:val="24"/>
              </w:rPr>
              <w:t>芜湖市公共资源电子系统</w:t>
            </w:r>
          </w:p>
        </w:tc>
        <w:tc>
          <w:tcPr>
            <w:tcW w:w="2860" w:type="dxa"/>
            <w:vAlign w:val="center"/>
          </w:tcPr>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无为市咨询电话：</w:t>
            </w:r>
          </w:p>
          <w:p>
            <w:pPr>
              <w:jc w:val="center"/>
              <w:rPr>
                <w:rFonts w:ascii="宋体" w:hAnsi="宋体" w:eastAsia="仿宋" w:cs="宋体"/>
                <w:color w:val="000000" w:themeColor="text1"/>
                <w:sz w:val="24"/>
                <w:szCs w:val="24"/>
              </w:rPr>
            </w:pPr>
            <w:r>
              <w:rPr>
                <w:rFonts w:hint="eastAsia" w:ascii="仿宋" w:hAnsi="仿宋" w:eastAsia="仿宋" w:cs="仿宋"/>
                <w:color w:val="000000" w:themeColor="text1"/>
                <w:sz w:val="24"/>
                <w:szCs w:val="24"/>
              </w:rPr>
              <w:t>0553-</w:t>
            </w:r>
            <w:r>
              <w:rPr>
                <w:rFonts w:hint="eastAsia" w:ascii="宋体" w:hAnsi="宋体" w:eastAsia="宋体" w:cs="宋体"/>
                <w:color w:val="000000" w:themeColor="text1"/>
                <w:sz w:val="24"/>
                <w:szCs w:val="24"/>
              </w:rPr>
              <w:t>2521581</w:t>
            </w:r>
          </w:p>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南陵县咨询电话：0553-2395704</w:t>
            </w:r>
          </w:p>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湾沚</w:t>
            </w:r>
            <w:r>
              <w:rPr>
                <w:rFonts w:hint="eastAsia" w:ascii="仿宋" w:hAnsi="仿宋" w:eastAsia="仿宋" w:cs="仿宋"/>
                <w:color w:val="000000" w:themeColor="text1"/>
                <w:sz w:val="24"/>
                <w:szCs w:val="24"/>
              </w:rPr>
              <w:t>区咨询电话：0553-2567855</w:t>
            </w:r>
          </w:p>
          <w:p>
            <w:pPr>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繁昌区咨询电话：0553-2588756</w:t>
            </w:r>
          </w:p>
        </w:tc>
      </w:tr>
    </w:tbl>
    <w:p>
      <w:pPr>
        <w:jc w:val="left"/>
        <w:rPr>
          <w:rFonts w:asciiTheme="minorEastAsia" w:hAnsiTheme="minorEastAsia"/>
          <w:color w:val="000000" w:themeColor="text1"/>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73207"/>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919"/>
    <w:rsid w:val="00014042"/>
    <w:rsid w:val="00125DE5"/>
    <w:rsid w:val="0013342D"/>
    <w:rsid w:val="0018365F"/>
    <w:rsid w:val="00237DD6"/>
    <w:rsid w:val="00261116"/>
    <w:rsid w:val="00331FF1"/>
    <w:rsid w:val="00402EE0"/>
    <w:rsid w:val="00404991"/>
    <w:rsid w:val="00447DF1"/>
    <w:rsid w:val="00535013"/>
    <w:rsid w:val="00585D25"/>
    <w:rsid w:val="00603C52"/>
    <w:rsid w:val="00685895"/>
    <w:rsid w:val="006926F5"/>
    <w:rsid w:val="006A7022"/>
    <w:rsid w:val="006D2E50"/>
    <w:rsid w:val="00706E86"/>
    <w:rsid w:val="00770DC5"/>
    <w:rsid w:val="007E754D"/>
    <w:rsid w:val="00844001"/>
    <w:rsid w:val="008D33A9"/>
    <w:rsid w:val="0091607F"/>
    <w:rsid w:val="00916322"/>
    <w:rsid w:val="009256E9"/>
    <w:rsid w:val="00940AB2"/>
    <w:rsid w:val="009417B1"/>
    <w:rsid w:val="0097274A"/>
    <w:rsid w:val="00A068DD"/>
    <w:rsid w:val="00A25883"/>
    <w:rsid w:val="00A32FA3"/>
    <w:rsid w:val="00A864CC"/>
    <w:rsid w:val="00AA0027"/>
    <w:rsid w:val="00C17919"/>
    <w:rsid w:val="00C3736E"/>
    <w:rsid w:val="00C72FCF"/>
    <w:rsid w:val="00DD3E3A"/>
    <w:rsid w:val="00DF3A13"/>
    <w:rsid w:val="00E06BD5"/>
    <w:rsid w:val="00F07CF7"/>
    <w:rsid w:val="00F2188F"/>
    <w:rsid w:val="00F24994"/>
    <w:rsid w:val="00F472EC"/>
    <w:rsid w:val="00FA7DFD"/>
    <w:rsid w:val="00FB2F0F"/>
    <w:rsid w:val="029070ED"/>
    <w:rsid w:val="03E16D80"/>
    <w:rsid w:val="04114EE6"/>
    <w:rsid w:val="070864BA"/>
    <w:rsid w:val="07705EAD"/>
    <w:rsid w:val="0BCF0739"/>
    <w:rsid w:val="0E410F01"/>
    <w:rsid w:val="163B15D1"/>
    <w:rsid w:val="17FC20F5"/>
    <w:rsid w:val="186D4CB2"/>
    <w:rsid w:val="1B9D2476"/>
    <w:rsid w:val="20EB37F7"/>
    <w:rsid w:val="23577556"/>
    <w:rsid w:val="262C1122"/>
    <w:rsid w:val="285B4318"/>
    <w:rsid w:val="29AA674B"/>
    <w:rsid w:val="2EAD3679"/>
    <w:rsid w:val="30964DAA"/>
    <w:rsid w:val="31D53216"/>
    <w:rsid w:val="329E2660"/>
    <w:rsid w:val="3D5F2384"/>
    <w:rsid w:val="3F46271E"/>
    <w:rsid w:val="417F40A2"/>
    <w:rsid w:val="41854B48"/>
    <w:rsid w:val="48D26870"/>
    <w:rsid w:val="499D78F3"/>
    <w:rsid w:val="560D7EF7"/>
    <w:rsid w:val="57C10A9D"/>
    <w:rsid w:val="59C50950"/>
    <w:rsid w:val="5A1478A4"/>
    <w:rsid w:val="5A6307FA"/>
    <w:rsid w:val="65DA2FE7"/>
    <w:rsid w:val="6CF17193"/>
    <w:rsid w:val="6D894C3A"/>
    <w:rsid w:val="737D1D1A"/>
    <w:rsid w:val="740B0660"/>
    <w:rsid w:val="74C958EA"/>
    <w:rsid w:val="7CE272A3"/>
    <w:rsid w:val="7D5B4DAF"/>
    <w:rsid w:val="7DD37EA7"/>
    <w:rsid w:val="7DD75897"/>
    <w:rsid w:val="7E9F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448</Words>
  <Characters>2554</Characters>
  <Lines>21</Lines>
  <Paragraphs>5</Paragraphs>
  <TotalTime>6</TotalTime>
  <ScaleCrop>false</ScaleCrop>
  <LinksUpToDate>false</LinksUpToDate>
  <CharactersWithSpaces>2997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2021-04-29T09:42:00Z</dcterms:created>
  <dc:creator>Administrator</dc:creator>
  <cp:lastModifiedBy>明天会更好</cp:lastModifiedBy>
  <cp:lastPrinted>2022-02-09T06:52:00Z</cp:lastPrinted>
  <dcterms:modified xsi:type="dcterms:W3CDTF">2022-02-21T02:16:02Z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189F51FD5B3E4D38ADCCF5F7CC0233C7</vt:lpwstr>
  </property>
</Properties>
</file>