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6D6446D">
      <w:pPr>
        <w:pStyle w:val="3"/>
        <w:pageBreakBefore/>
        <w:ind w:right="295"/>
        <w:rPr>
          <w:rFonts w:hint="eastAsia" w:ascii="宋体" w:hAnsi="宋体" w:eastAsia="宋体" w:cs="宋体"/>
          <w:color w:val="000000"/>
          <w:highlight w:val="none"/>
        </w:rPr>
      </w:pPr>
      <w:r>
        <w:rPr>
          <w:rFonts w:hint="eastAsia" w:ascii="宋体" w:hAnsi="宋体" w:eastAsia="宋体" w:cs="宋体"/>
          <w:color w:val="000000"/>
          <w:highlight w:val="none"/>
        </w:rPr>
        <w:t>采购需求</w:t>
      </w:r>
    </w:p>
    <w:p w14:paraId="24B614FA">
      <w:pPr>
        <w:pStyle w:val="5"/>
        <w:spacing w:before="3"/>
        <w:rPr>
          <w:rFonts w:ascii="Microsoft JhengHei"/>
          <w:b/>
          <w:color w:val="000000"/>
          <w:sz w:val="23"/>
          <w:highlight w:val="none"/>
        </w:rPr>
      </w:pPr>
      <w:bookmarkStart w:id="0" w:name="_bookmark104"/>
      <w:bookmarkEnd w:id="0"/>
      <w:bookmarkStart w:id="1" w:name="_bookmark138"/>
      <w:bookmarkEnd w:id="1"/>
      <w:bookmarkStart w:id="2" w:name="_bookmark103"/>
      <w:bookmarkEnd w:id="2"/>
      <w:bookmarkStart w:id="3" w:name="_bookmark135"/>
      <w:bookmarkEnd w:id="3"/>
      <w:bookmarkStart w:id="4" w:name="_bookmark134"/>
      <w:bookmarkEnd w:id="4"/>
    </w:p>
    <w:p w14:paraId="35D071F9">
      <w:pPr>
        <w:pStyle w:val="12"/>
        <w:spacing w:line="400" w:lineRule="exact"/>
        <w:ind w:firstLine="411" w:firstLineChars="196"/>
        <w:rPr>
          <w:rFonts w:hint="eastAsia" w:ascii="宋体" w:hAnsi="宋体"/>
          <w:color w:val="000000"/>
          <w:szCs w:val="21"/>
          <w:highlight w:val="none"/>
        </w:rPr>
      </w:pPr>
      <w:r>
        <w:rPr>
          <w:rFonts w:hint="eastAsia" w:ascii="宋体" w:hAnsi="宋体"/>
          <w:color w:val="000000"/>
          <w:szCs w:val="21"/>
          <w:highlight w:val="none"/>
        </w:rPr>
        <w:t>备注：</w:t>
      </w:r>
    </w:p>
    <w:p w14:paraId="19D259F9">
      <w:pPr>
        <w:pStyle w:val="12"/>
        <w:spacing w:line="400" w:lineRule="exact"/>
        <w:ind w:firstLine="411" w:firstLineChars="196"/>
        <w:rPr>
          <w:rFonts w:hint="eastAsia" w:ascii="宋体" w:hAnsi="宋体"/>
          <w:color w:val="000000"/>
          <w:szCs w:val="21"/>
          <w:highlight w:val="none"/>
        </w:rPr>
      </w:pPr>
      <w:r>
        <w:rPr>
          <w:rFonts w:hint="eastAsia" w:ascii="宋体" w:hAnsi="宋体"/>
          <w:color w:val="000000"/>
          <w:szCs w:val="21"/>
          <w:highlight w:val="none"/>
        </w:rPr>
        <w:t>1.以下《采购需求说明》及《采购需求一览表》所列内容为</w:t>
      </w:r>
      <w:r>
        <w:rPr>
          <w:rFonts w:hint="eastAsia"/>
          <w:color w:val="000000"/>
          <w:szCs w:val="21"/>
          <w:highlight w:val="none"/>
        </w:rPr>
        <w:t>招标人</w:t>
      </w:r>
      <w:r>
        <w:rPr>
          <w:rFonts w:hint="eastAsia" w:ascii="宋体" w:hAnsi="宋体"/>
          <w:color w:val="000000"/>
          <w:szCs w:val="21"/>
          <w:highlight w:val="none"/>
        </w:rPr>
        <w:t>所提采购需求，投标人应认真仔细研究，投标时应慎重选择相应的产品及技术参数、规格型号等进行投标。</w:t>
      </w:r>
    </w:p>
    <w:p w14:paraId="40523F45">
      <w:pPr>
        <w:pStyle w:val="12"/>
        <w:spacing w:line="400" w:lineRule="exact"/>
        <w:ind w:firstLine="411" w:firstLineChars="196"/>
        <w:rPr>
          <w:rFonts w:hint="eastAsia" w:ascii="宋体" w:hAnsi="宋体"/>
          <w:color w:val="000000"/>
          <w:szCs w:val="21"/>
          <w:highlight w:val="none"/>
        </w:rPr>
      </w:pPr>
      <w:r>
        <w:rPr>
          <w:rFonts w:hint="eastAsia" w:ascii="宋体" w:hAnsi="宋体"/>
          <w:color w:val="000000"/>
          <w:szCs w:val="21"/>
          <w:highlight w:val="none"/>
        </w:rPr>
        <w:t>2.</w:t>
      </w:r>
      <w:r>
        <w:rPr>
          <w:rFonts w:hint="eastAsia" w:ascii="宋体" w:hAnsi="宋体"/>
          <w:color w:val="FF0000"/>
          <w:szCs w:val="21"/>
          <w:highlight w:val="none"/>
        </w:rPr>
        <w:t>本章中标注“*”的参数为实质性参数，投标人必须满足并提供招标文件规定的证明材料。若招标文件未明确要求何种证明材料，则以制造商公开发布的资料或检测机构出具的检测报告为准。若制造商公开发布的资料与检测机构出具的检测报告不一致，以检测机构出具的检测报告为准。</w:t>
      </w:r>
    </w:p>
    <w:p w14:paraId="4F0C7AD1">
      <w:pPr>
        <w:pStyle w:val="12"/>
        <w:spacing w:line="400" w:lineRule="exact"/>
        <w:ind w:firstLine="411" w:firstLineChars="196"/>
        <w:rPr>
          <w:rFonts w:hint="eastAsia" w:ascii="宋体" w:hAnsi="宋体"/>
          <w:color w:val="000000"/>
          <w:szCs w:val="21"/>
          <w:highlight w:val="none"/>
        </w:rPr>
      </w:pPr>
      <w:r>
        <w:rPr>
          <w:rFonts w:hint="eastAsia" w:ascii="宋体" w:hAnsi="宋体"/>
          <w:color w:val="000000"/>
          <w:szCs w:val="21"/>
          <w:highlight w:val="none"/>
        </w:rPr>
        <w:t>3.本章中标注“▲”的产品为主要标的（包括核心产品）。招标人（代理机构）在编制招标文件时必须将采购的主要标的（包括核心产品）标注“▲”。</w:t>
      </w:r>
    </w:p>
    <w:p w14:paraId="49D66119">
      <w:pPr>
        <w:pStyle w:val="12"/>
        <w:spacing w:line="400" w:lineRule="exact"/>
        <w:ind w:firstLine="411" w:firstLineChars="196"/>
        <w:rPr>
          <w:rFonts w:hint="eastAsia" w:ascii="宋体" w:hAnsi="宋体"/>
          <w:color w:val="000000"/>
          <w:szCs w:val="21"/>
          <w:highlight w:val="none"/>
        </w:rPr>
      </w:pPr>
      <w:r>
        <w:rPr>
          <w:rFonts w:hint="eastAsia" w:ascii="宋体" w:hAnsi="宋体"/>
          <w:color w:val="000000"/>
          <w:szCs w:val="21"/>
          <w:highlight w:val="none"/>
        </w:rPr>
        <w:t>4.投标报价包括采购、运输、人工、安装、售后、税费等所有费用。</w:t>
      </w:r>
    </w:p>
    <w:p w14:paraId="7C611021">
      <w:pPr>
        <w:pStyle w:val="12"/>
        <w:spacing w:line="400" w:lineRule="exact"/>
        <w:ind w:firstLine="411" w:firstLineChars="196"/>
        <w:rPr>
          <w:rFonts w:hint="eastAsia" w:ascii="宋体" w:hAnsi="宋体"/>
          <w:color w:val="000000"/>
          <w:szCs w:val="21"/>
          <w:highlight w:val="none"/>
        </w:rPr>
      </w:pPr>
      <w:r>
        <w:rPr>
          <w:rFonts w:hint="eastAsia" w:ascii="宋体" w:hAnsi="宋体"/>
          <w:color w:val="000000"/>
          <w:szCs w:val="21"/>
          <w:highlight w:val="none"/>
        </w:rPr>
        <w:t>5.本项目招标文件中 “投标文件格式”中内容应根据项目需要和评标办法规定填写；如不需要，则填写无。</w:t>
      </w:r>
    </w:p>
    <w:p w14:paraId="35F695E7">
      <w:pPr>
        <w:pStyle w:val="12"/>
        <w:spacing w:line="400" w:lineRule="exact"/>
        <w:ind w:firstLine="411" w:firstLineChars="196"/>
        <w:rPr>
          <w:rFonts w:hint="eastAsia" w:ascii="宋体" w:hAnsi="宋体"/>
          <w:color w:val="000000"/>
          <w:szCs w:val="21"/>
          <w:highlight w:val="none"/>
        </w:rPr>
      </w:pPr>
      <w:r>
        <w:rPr>
          <w:rFonts w:hint="eastAsia" w:ascii="宋体" w:hAnsi="宋体"/>
          <w:color w:val="000000"/>
          <w:szCs w:val="21"/>
          <w:highlight w:val="none"/>
        </w:rPr>
        <w:t>6.中标人和</w:t>
      </w:r>
      <w:r>
        <w:rPr>
          <w:rFonts w:hint="eastAsia"/>
          <w:color w:val="000000"/>
          <w:szCs w:val="21"/>
          <w:highlight w:val="none"/>
        </w:rPr>
        <w:t>招标人</w:t>
      </w:r>
      <w:r>
        <w:rPr>
          <w:rFonts w:hint="eastAsia" w:ascii="宋体" w:hAnsi="宋体"/>
          <w:color w:val="000000"/>
          <w:szCs w:val="21"/>
          <w:highlight w:val="none"/>
        </w:rPr>
        <w:t>签订的合同应与招标文件中的采购合同一致，不得另行签订与采购合同相背离的其他合同。</w:t>
      </w:r>
    </w:p>
    <w:p w14:paraId="4F26EA17">
      <w:pPr>
        <w:spacing w:line="360" w:lineRule="auto"/>
        <w:jc w:val="center"/>
        <w:rPr>
          <w:rFonts w:hint="eastAsia"/>
          <w:b/>
          <w:color w:val="000000"/>
          <w:sz w:val="28"/>
          <w:szCs w:val="28"/>
          <w:highlight w:val="none"/>
        </w:rPr>
      </w:pPr>
    </w:p>
    <w:p w14:paraId="63ABC929">
      <w:pPr>
        <w:spacing w:line="360" w:lineRule="auto"/>
        <w:jc w:val="center"/>
        <w:rPr>
          <w:rFonts w:hint="eastAsia"/>
          <w:b/>
          <w:color w:val="000000"/>
          <w:sz w:val="28"/>
          <w:szCs w:val="28"/>
          <w:highlight w:val="none"/>
        </w:rPr>
      </w:pPr>
      <w:r>
        <w:rPr>
          <w:rFonts w:hint="eastAsia"/>
          <w:b/>
          <w:color w:val="000000"/>
          <w:sz w:val="28"/>
          <w:szCs w:val="28"/>
          <w:highlight w:val="none"/>
        </w:rPr>
        <w:t>采购需求说明</w:t>
      </w:r>
    </w:p>
    <w:p w14:paraId="72705BC7">
      <w:pPr>
        <w:pStyle w:val="13"/>
        <w:rPr>
          <w:rFonts w:hint="eastAsia"/>
          <w:highlight w:val="none"/>
        </w:rPr>
      </w:pPr>
    </w:p>
    <w:p w14:paraId="280829B6">
      <w:pPr>
        <w:spacing w:line="360" w:lineRule="auto"/>
        <w:jc w:val="left"/>
        <w:rPr>
          <w:rFonts w:hint="eastAsia" w:ascii="仿宋" w:hAnsi="仿宋" w:eastAsia="仿宋" w:cs="仿宋"/>
          <w:bCs/>
          <w:color w:val="FF0000"/>
          <w:sz w:val="28"/>
          <w:szCs w:val="28"/>
          <w:highlight w:val="none"/>
        </w:rPr>
      </w:pPr>
      <w:r>
        <w:rPr>
          <w:rFonts w:hint="eastAsia" w:ascii="仿宋" w:hAnsi="仿宋" w:eastAsia="仿宋" w:cs="仿宋"/>
          <w:bCs/>
          <w:color w:val="FF0000"/>
          <w:sz w:val="28"/>
          <w:szCs w:val="28"/>
          <w:highlight w:val="none"/>
        </w:rPr>
        <w:t>*1.投标产品须具有有效的医疗器械注册证</w:t>
      </w:r>
      <w:r>
        <w:rPr>
          <w:rFonts w:hint="eastAsia" w:ascii="仿宋" w:hAnsi="仿宋" w:eastAsia="仿宋" w:cs="仿宋"/>
          <w:bCs/>
          <w:color w:val="FF0000"/>
          <w:sz w:val="28"/>
          <w:szCs w:val="28"/>
          <w:highlight w:val="none"/>
          <w:lang w:eastAsia="zh-CN"/>
        </w:rPr>
        <w:t>（适用第</w:t>
      </w:r>
      <w:r>
        <w:rPr>
          <w:rFonts w:hint="eastAsia" w:ascii="仿宋" w:hAnsi="仿宋" w:eastAsia="仿宋" w:cs="仿宋"/>
          <w:bCs/>
          <w:color w:val="FF0000"/>
          <w:sz w:val="28"/>
          <w:szCs w:val="28"/>
          <w:highlight w:val="none"/>
          <w:lang w:val="en-US" w:eastAsia="zh-CN"/>
        </w:rPr>
        <w:t>二</w:t>
      </w:r>
      <w:r>
        <w:rPr>
          <w:rFonts w:hint="eastAsia" w:ascii="仿宋" w:hAnsi="仿宋" w:eastAsia="仿宋" w:cs="仿宋"/>
          <w:bCs/>
          <w:color w:val="FF0000"/>
          <w:sz w:val="28"/>
          <w:szCs w:val="28"/>
          <w:highlight w:val="none"/>
          <w:lang w:eastAsia="zh-CN"/>
        </w:rPr>
        <w:t>类和第三类医疗器械）</w:t>
      </w:r>
      <w:r>
        <w:rPr>
          <w:rFonts w:hint="eastAsia" w:ascii="仿宋" w:hAnsi="仿宋" w:eastAsia="仿宋" w:cs="仿宋"/>
          <w:bCs/>
          <w:color w:val="FF0000"/>
          <w:sz w:val="28"/>
          <w:szCs w:val="28"/>
          <w:highlight w:val="none"/>
        </w:rPr>
        <w:t xml:space="preserve">。 </w:t>
      </w:r>
    </w:p>
    <w:p w14:paraId="315A2180">
      <w:pPr>
        <w:spacing w:line="360" w:lineRule="auto"/>
        <w:jc w:val="left"/>
        <w:rPr>
          <w:rFonts w:hint="eastAsia"/>
          <w:b w:val="0"/>
          <w:bCs/>
          <w:color w:val="000000"/>
          <w:sz w:val="28"/>
          <w:szCs w:val="28"/>
          <w:highlight w:val="none"/>
        </w:rPr>
      </w:pPr>
      <w:r>
        <w:rPr>
          <w:rFonts w:hint="eastAsia" w:ascii="仿宋" w:hAnsi="仿宋" w:eastAsia="仿宋" w:cs="仿宋"/>
          <w:bCs/>
          <w:color w:val="FF0000"/>
          <w:sz w:val="28"/>
          <w:szCs w:val="28"/>
          <w:highlight w:val="none"/>
        </w:rPr>
        <w:t>*2.</w:t>
      </w:r>
      <w:r>
        <w:rPr>
          <w:rFonts w:hint="eastAsia" w:ascii="仿宋" w:hAnsi="仿宋" w:eastAsia="仿宋" w:cs="仿宋"/>
          <w:bCs/>
          <w:color w:val="FF0000"/>
          <w:sz w:val="28"/>
          <w:szCs w:val="28"/>
          <w:highlight w:val="none"/>
          <w:lang w:val="en-US" w:eastAsia="zh-CN"/>
        </w:rPr>
        <w:t>投标产品或其生产（或经营）纳入备案管理时，须在投标（响应）文件中提供备案证明材料或者承诺函。如投标（响应）文件中未提供备案证明材料，应提供承诺函，承诺在合同签订前具有相应的生产（或经营）、所投产品的备案证明材料。《免于经营备案的第二类医疗器械产品目录》中的产品可不提供备案证明材料或者承诺函”</w:t>
      </w:r>
      <w:r>
        <w:rPr>
          <w:rFonts w:hint="eastAsia" w:ascii="仿宋" w:hAnsi="仿宋" w:eastAsia="仿宋" w:cs="仿宋"/>
          <w:bCs/>
          <w:color w:val="FF0000"/>
          <w:sz w:val="28"/>
          <w:szCs w:val="28"/>
          <w:highlight w:val="none"/>
        </w:rPr>
        <w:t>。</w:t>
      </w:r>
    </w:p>
    <w:p w14:paraId="11F0329B">
      <w:pPr>
        <w:spacing w:line="360" w:lineRule="auto"/>
        <w:jc w:val="left"/>
        <w:rPr>
          <w:rFonts w:hint="default" w:ascii="仿宋" w:hAnsi="仿宋" w:eastAsia="仿宋" w:cs="仿宋"/>
          <w:b w:val="0"/>
          <w:bCs/>
          <w:color w:val="000000"/>
          <w:sz w:val="28"/>
          <w:szCs w:val="28"/>
          <w:highlight w:val="none"/>
          <w:lang w:val="en-US" w:eastAsia="zh-CN"/>
        </w:rPr>
      </w:pPr>
      <w:r>
        <w:rPr>
          <w:rFonts w:hint="eastAsia" w:ascii="仿宋" w:hAnsi="仿宋" w:eastAsia="仿宋" w:cs="仿宋"/>
          <w:b w:val="0"/>
          <w:bCs/>
          <w:color w:val="000000"/>
          <w:sz w:val="28"/>
          <w:szCs w:val="28"/>
          <w:highlight w:val="none"/>
          <w:lang w:val="en-US" w:eastAsia="zh-CN"/>
        </w:rPr>
        <w:t>3</w:t>
      </w:r>
      <w:r>
        <w:rPr>
          <w:rFonts w:hint="eastAsia" w:ascii="仿宋" w:hAnsi="仿宋" w:eastAsia="仿宋" w:cs="仿宋"/>
          <w:b w:val="0"/>
          <w:bCs/>
          <w:color w:val="000000"/>
          <w:sz w:val="28"/>
          <w:szCs w:val="28"/>
          <w:highlight w:val="none"/>
        </w:rPr>
        <w:t>.投标时需考虑到</w:t>
      </w:r>
      <w:r>
        <w:rPr>
          <w:rFonts w:hint="eastAsia" w:ascii="仿宋" w:hAnsi="仿宋" w:eastAsia="仿宋" w:cs="仿宋"/>
          <w:b w:val="0"/>
          <w:bCs/>
          <w:color w:val="000000"/>
          <w:sz w:val="28"/>
          <w:szCs w:val="28"/>
          <w:highlight w:val="none"/>
          <w:lang w:val="en-US" w:eastAsia="zh-CN"/>
        </w:rPr>
        <w:t>招标人</w:t>
      </w:r>
      <w:r>
        <w:rPr>
          <w:rFonts w:hint="eastAsia" w:ascii="仿宋" w:hAnsi="仿宋" w:eastAsia="仿宋" w:cs="仿宋"/>
          <w:b w:val="0"/>
          <w:bCs/>
          <w:color w:val="000000"/>
          <w:sz w:val="28"/>
          <w:szCs w:val="28"/>
          <w:highlight w:val="none"/>
        </w:rPr>
        <w:t>目前3.9%配送费，后续配送费执行医院配送合同约定费用</w:t>
      </w:r>
      <w:r>
        <w:rPr>
          <w:rFonts w:hint="eastAsia" w:ascii="仿宋" w:hAnsi="仿宋" w:eastAsia="仿宋" w:cs="仿宋"/>
          <w:b w:val="0"/>
          <w:bCs/>
          <w:color w:val="000000"/>
          <w:sz w:val="28"/>
          <w:szCs w:val="28"/>
          <w:highlight w:val="none"/>
          <w:lang w:eastAsia="zh-CN"/>
        </w:rPr>
        <w:t>；</w:t>
      </w:r>
      <w:r>
        <w:rPr>
          <w:rFonts w:hint="eastAsia" w:ascii="仿宋" w:hAnsi="仿宋" w:eastAsia="仿宋" w:cs="仿宋"/>
          <w:b w:val="0"/>
          <w:bCs/>
          <w:color w:val="000000"/>
          <w:sz w:val="28"/>
          <w:szCs w:val="28"/>
          <w:highlight w:val="none"/>
        </w:rPr>
        <w:t>按需供货、按实结算</w:t>
      </w:r>
      <w:r>
        <w:rPr>
          <w:rFonts w:hint="eastAsia" w:ascii="仿宋" w:hAnsi="仿宋" w:eastAsia="仿宋" w:cs="仿宋"/>
          <w:b w:val="0"/>
          <w:bCs/>
          <w:color w:val="000000"/>
          <w:sz w:val="28"/>
          <w:szCs w:val="28"/>
          <w:highlight w:val="none"/>
          <w:lang w:eastAsia="zh-CN"/>
        </w:rPr>
        <w:t>；</w:t>
      </w:r>
      <w:r>
        <w:rPr>
          <w:rFonts w:hint="eastAsia" w:ascii="仿宋" w:hAnsi="仿宋" w:eastAsia="仿宋" w:cs="仿宋"/>
          <w:b w:val="0"/>
          <w:bCs/>
          <w:color w:val="000000"/>
          <w:sz w:val="28"/>
          <w:szCs w:val="28"/>
          <w:highlight w:val="none"/>
          <w:lang w:val="en-US" w:eastAsia="zh-CN"/>
        </w:rPr>
        <w:t>中标后</w:t>
      </w:r>
      <w:r>
        <w:rPr>
          <w:rFonts w:hint="eastAsia" w:ascii="仿宋" w:hAnsi="仿宋" w:eastAsia="仿宋" w:cs="仿宋"/>
          <w:b w:val="0"/>
          <w:bCs/>
          <w:color w:val="000000"/>
          <w:sz w:val="28"/>
          <w:szCs w:val="28"/>
          <w:highlight w:val="none"/>
          <w:lang w:eastAsia="zh-CN"/>
        </w:rPr>
        <w:t>提供所投耗材的医保</w:t>
      </w:r>
      <w:r>
        <w:rPr>
          <w:rFonts w:hint="eastAsia" w:ascii="仿宋" w:hAnsi="仿宋" w:eastAsia="仿宋" w:cs="仿宋"/>
          <w:b w:val="0"/>
          <w:bCs/>
          <w:color w:val="000000"/>
          <w:sz w:val="28"/>
          <w:szCs w:val="28"/>
          <w:highlight w:val="none"/>
          <w:lang w:val="en-US" w:eastAsia="zh-CN"/>
        </w:rPr>
        <w:t>27位代码（投标文件提供承诺函加盖公章，格式自拟）。</w:t>
      </w:r>
    </w:p>
    <w:p w14:paraId="280C553E">
      <w:pPr>
        <w:spacing w:line="360" w:lineRule="auto"/>
        <w:jc w:val="left"/>
        <w:rPr>
          <w:rFonts w:hint="eastAsia" w:ascii="仿宋" w:hAnsi="仿宋" w:eastAsia="仿宋" w:cs="仿宋"/>
          <w:b w:val="0"/>
          <w:bCs/>
          <w:color w:val="FF0000"/>
          <w:sz w:val="28"/>
          <w:szCs w:val="28"/>
          <w:highlight w:val="none"/>
        </w:rPr>
      </w:pPr>
      <w:r>
        <w:rPr>
          <w:rFonts w:hint="eastAsia" w:ascii="仿宋" w:hAnsi="仿宋" w:eastAsia="仿宋" w:cs="仿宋"/>
          <w:b w:val="0"/>
          <w:bCs/>
          <w:color w:val="FF0000"/>
          <w:sz w:val="28"/>
          <w:szCs w:val="28"/>
          <w:highlight w:val="none"/>
        </w:rPr>
        <w:t>*</w:t>
      </w:r>
      <w:r>
        <w:rPr>
          <w:rFonts w:hint="eastAsia" w:ascii="仿宋" w:hAnsi="仿宋" w:eastAsia="仿宋" w:cs="仿宋"/>
          <w:b w:val="0"/>
          <w:bCs/>
          <w:color w:val="FF0000"/>
          <w:sz w:val="28"/>
          <w:szCs w:val="28"/>
          <w:highlight w:val="none"/>
          <w:lang w:val="en-US" w:eastAsia="zh-CN"/>
        </w:rPr>
        <w:t>4</w:t>
      </w:r>
      <w:r>
        <w:rPr>
          <w:rFonts w:hint="eastAsia" w:ascii="仿宋" w:hAnsi="仿宋" w:eastAsia="仿宋" w:cs="仿宋"/>
          <w:b w:val="0"/>
          <w:bCs/>
          <w:color w:val="FF0000"/>
          <w:sz w:val="28"/>
          <w:szCs w:val="28"/>
          <w:highlight w:val="none"/>
        </w:rPr>
        <w:t>.如遇政策性的带量采购、集中配送、两票制等政策变化，需要按照政策要求执行</w:t>
      </w:r>
      <w:r>
        <w:rPr>
          <w:rFonts w:hint="eastAsia" w:ascii="仿宋" w:hAnsi="仿宋" w:eastAsia="仿宋" w:cs="仿宋"/>
          <w:b w:val="0"/>
          <w:bCs/>
          <w:color w:val="FF0000"/>
          <w:sz w:val="28"/>
          <w:szCs w:val="28"/>
          <w:highlight w:val="none"/>
          <w:lang w:eastAsia="zh-CN"/>
        </w:rPr>
        <w:t>（</w:t>
      </w:r>
      <w:r>
        <w:rPr>
          <w:rFonts w:hint="eastAsia" w:ascii="仿宋" w:hAnsi="仿宋" w:eastAsia="仿宋" w:cs="仿宋"/>
          <w:b w:val="0"/>
          <w:bCs/>
          <w:color w:val="FF0000"/>
          <w:sz w:val="28"/>
          <w:szCs w:val="28"/>
          <w:highlight w:val="none"/>
          <w:lang w:val="en-US" w:eastAsia="zh-CN"/>
        </w:rPr>
        <w:t>投标文件提供承诺函加盖公章，格式自拟）</w:t>
      </w:r>
      <w:r>
        <w:rPr>
          <w:rFonts w:hint="eastAsia" w:ascii="仿宋" w:hAnsi="仿宋" w:eastAsia="仿宋" w:cs="仿宋"/>
          <w:b w:val="0"/>
          <w:bCs/>
          <w:color w:val="FF0000"/>
          <w:sz w:val="28"/>
          <w:szCs w:val="28"/>
          <w:highlight w:val="none"/>
        </w:rPr>
        <w:t>。</w:t>
      </w:r>
    </w:p>
    <w:p w14:paraId="1D36FE6E">
      <w:pPr>
        <w:pStyle w:val="2"/>
        <w:numPr>
          <w:ilvl w:val="0"/>
          <w:numId w:val="1"/>
        </w:numPr>
        <w:ind w:left="281" w:leftChars="0" w:hanging="281" w:hangingChars="100"/>
        <w:rPr>
          <w:rFonts w:hint="eastAsia" w:ascii="仿宋" w:hAnsi="仿宋" w:eastAsia="仿宋" w:cs="仿宋"/>
          <w:b/>
          <w:bCs w:val="0"/>
          <w:color w:val="auto"/>
          <w:sz w:val="28"/>
          <w:szCs w:val="28"/>
          <w:highlight w:val="none"/>
          <w:lang w:val="en-US" w:eastAsia="zh-CN"/>
        </w:rPr>
      </w:pPr>
      <w:r>
        <w:rPr>
          <w:rFonts w:hint="eastAsia" w:ascii="仿宋" w:hAnsi="仿宋" w:eastAsia="仿宋" w:cs="仿宋"/>
          <w:b/>
          <w:bCs w:val="0"/>
          <w:color w:val="auto"/>
          <w:sz w:val="28"/>
          <w:szCs w:val="28"/>
          <w:highlight w:val="none"/>
          <w:lang w:val="en-US" w:eastAsia="zh-CN"/>
        </w:rPr>
        <w:t>采购需求一览表中列出的所有规格的刀头（刨削刀头、磨头圆形、磨头柱形），投标文件分项报价表中统一只报一个综合单价，投标人综合考虑报价。</w:t>
      </w:r>
    </w:p>
    <w:p w14:paraId="10E257AF">
      <w:pPr>
        <w:numPr>
          <w:ilvl w:val="0"/>
          <w:numId w:val="0"/>
        </w:numPr>
        <w:rPr>
          <w:rFonts w:hint="default"/>
          <w:highlight w:val="none"/>
          <w:lang w:val="en-US" w:eastAsia="zh-CN"/>
        </w:rPr>
      </w:pPr>
    </w:p>
    <w:p w14:paraId="57821241">
      <w:pPr>
        <w:wordWrap w:val="0"/>
        <w:topLinePunct/>
        <w:autoSpaceDE/>
        <w:autoSpaceDN/>
        <w:adjustRightInd w:val="0"/>
        <w:snapToGrid w:val="0"/>
        <w:spacing w:line="360" w:lineRule="auto"/>
        <w:jc w:val="center"/>
        <w:outlineLvl w:val="2"/>
        <w:rPr>
          <w:rFonts w:hint="eastAsia"/>
          <w:b/>
          <w:snapToGrid w:val="0"/>
          <w:color w:val="000000"/>
          <w:sz w:val="28"/>
          <w:szCs w:val="28"/>
          <w:highlight w:val="none"/>
        </w:rPr>
      </w:pPr>
      <w:r>
        <w:rPr>
          <w:rFonts w:hint="eastAsia"/>
          <w:b/>
          <w:snapToGrid w:val="0"/>
          <w:color w:val="000000"/>
          <w:sz w:val="28"/>
          <w:szCs w:val="28"/>
          <w:highlight w:val="none"/>
        </w:rPr>
        <w:t>采购需求一览表</w:t>
      </w:r>
    </w:p>
    <w:tbl>
      <w:tblPr>
        <w:tblStyle w:val="9"/>
        <w:tblW w:w="940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5"/>
        <w:gridCol w:w="1454"/>
        <w:gridCol w:w="4831"/>
        <w:gridCol w:w="885"/>
        <w:gridCol w:w="617"/>
        <w:gridCol w:w="911"/>
      </w:tblGrid>
      <w:tr w14:paraId="396D90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9" w:hRule="atLeast"/>
          <w:jc w:val="center"/>
        </w:trPr>
        <w:tc>
          <w:tcPr>
            <w:tcW w:w="705" w:type="dxa"/>
            <w:noWrap w:val="0"/>
            <w:vAlign w:val="center"/>
          </w:tcPr>
          <w:p w14:paraId="07E186C6">
            <w:pPr>
              <w:wordWrap w:val="0"/>
              <w:topLinePunct/>
              <w:autoSpaceDE/>
              <w:autoSpaceDN/>
              <w:adjustRightInd w:val="0"/>
              <w:snapToGrid w:val="0"/>
              <w:spacing w:line="360" w:lineRule="auto"/>
              <w:jc w:val="center"/>
              <w:rPr>
                <w:rFonts w:hint="eastAsia"/>
                <w:b/>
                <w:snapToGrid w:val="0"/>
                <w:color w:val="000000"/>
                <w:sz w:val="28"/>
                <w:szCs w:val="28"/>
                <w:highlight w:val="none"/>
              </w:rPr>
            </w:pPr>
            <w:r>
              <w:rPr>
                <w:rFonts w:hint="eastAsia"/>
                <w:snapToGrid w:val="0"/>
                <w:color w:val="000000"/>
                <w:highlight w:val="none"/>
              </w:rPr>
              <w:t>序号</w:t>
            </w:r>
          </w:p>
        </w:tc>
        <w:tc>
          <w:tcPr>
            <w:tcW w:w="1454" w:type="dxa"/>
            <w:noWrap w:val="0"/>
            <w:vAlign w:val="center"/>
          </w:tcPr>
          <w:p w14:paraId="1367C088">
            <w:pPr>
              <w:wordWrap w:val="0"/>
              <w:topLinePunct/>
              <w:autoSpaceDE/>
              <w:autoSpaceDN/>
              <w:adjustRightInd w:val="0"/>
              <w:snapToGrid w:val="0"/>
              <w:spacing w:line="360" w:lineRule="auto"/>
              <w:jc w:val="center"/>
              <w:rPr>
                <w:rFonts w:hint="eastAsia"/>
                <w:b/>
                <w:snapToGrid w:val="0"/>
                <w:color w:val="000000"/>
                <w:sz w:val="28"/>
                <w:szCs w:val="28"/>
                <w:highlight w:val="none"/>
              </w:rPr>
            </w:pPr>
            <w:r>
              <w:rPr>
                <w:rFonts w:hint="eastAsia"/>
                <w:snapToGrid w:val="0"/>
                <w:color w:val="000000"/>
                <w:highlight w:val="none"/>
              </w:rPr>
              <w:t>名称</w:t>
            </w:r>
          </w:p>
        </w:tc>
        <w:tc>
          <w:tcPr>
            <w:tcW w:w="4831" w:type="dxa"/>
            <w:noWrap w:val="0"/>
            <w:vAlign w:val="center"/>
          </w:tcPr>
          <w:p w14:paraId="08BC2F87">
            <w:pPr>
              <w:wordWrap w:val="0"/>
              <w:topLinePunct/>
              <w:autoSpaceDE/>
              <w:autoSpaceDN/>
              <w:adjustRightInd w:val="0"/>
              <w:snapToGrid w:val="0"/>
              <w:spacing w:line="360" w:lineRule="auto"/>
              <w:jc w:val="center"/>
              <w:rPr>
                <w:rFonts w:hint="eastAsia"/>
                <w:b/>
                <w:snapToGrid w:val="0"/>
                <w:color w:val="000000"/>
                <w:sz w:val="28"/>
                <w:szCs w:val="28"/>
                <w:highlight w:val="none"/>
              </w:rPr>
            </w:pPr>
            <w:r>
              <w:rPr>
                <w:rFonts w:hint="eastAsia"/>
                <w:snapToGrid w:val="0"/>
                <w:color w:val="000000"/>
                <w:highlight w:val="none"/>
              </w:rPr>
              <w:t>技术参数和规格型号</w:t>
            </w:r>
          </w:p>
        </w:tc>
        <w:tc>
          <w:tcPr>
            <w:tcW w:w="885" w:type="dxa"/>
            <w:noWrap w:val="0"/>
            <w:vAlign w:val="center"/>
          </w:tcPr>
          <w:p w14:paraId="2E059F57">
            <w:pPr>
              <w:wordWrap w:val="0"/>
              <w:topLinePunct/>
              <w:autoSpaceDE/>
              <w:autoSpaceDN/>
              <w:adjustRightInd w:val="0"/>
              <w:snapToGrid w:val="0"/>
              <w:jc w:val="center"/>
              <w:rPr>
                <w:b/>
                <w:snapToGrid w:val="0"/>
                <w:color w:val="000000"/>
                <w:sz w:val="28"/>
                <w:szCs w:val="28"/>
                <w:highlight w:val="none"/>
                <w:lang w:val="en-US"/>
              </w:rPr>
            </w:pPr>
            <w:r>
              <w:rPr>
                <w:rFonts w:hint="eastAsia"/>
                <w:snapToGrid w:val="0"/>
                <w:color w:val="000000"/>
                <w:highlight w:val="none"/>
              </w:rPr>
              <w:t>数量（</w:t>
            </w:r>
            <w:r>
              <w:rPr>
                <w:rFonts w:hint="eastAsia"/>
                <w:snapToGrid w:val="0"/>
                <w:color w:val="000000"/>
                <w:highlight w:val="none"/>
                <w:lang w:val="en-US"/>
              </w:rPr>
              <w:t>以下为</w:t>
            </w:r>
            <w:r>
              <w:rPr>
                <w:rFonts w:hint="eastAsia"/>
                <w:snapToGrid w:val="0"/>
                <w:color w:val="000000"/>
                <w:highlight w:val="none"/>
                <w:lang w:val="en-US" w:eastAsia="zh-CN"/>
              </w:rPr>
              <w:t>三</w:t>
            </w:r>
            <w:r>
              <w:rPr>
                <w:rFonts w:hint="eastAsia"/>
                <w:snapToGrid w:val="0"/>
                <w:color w:val="000000"/>
                <w:highlight w:val="none"/>
                <w:lang w:val="en-US"/>
              </w:rPr>
              <w:t>年使用量）</w:t>
            </w:r>
          </w:p>
        </w:tc>
        <w:tc>
          <w:tcPr>
            <w:tcW w:w="617" w:type="dxa"/>
            <w:noWrap w:val="0"/>
            <w:vAlign w:val="center"/>
          </w:tcPr>
          <w:p w14:paraId="3C32AD54">
            <w:pPr>
              <w:wordWrap w:val="0"/>
              <w:topLinePunct/>
              <w:autoSpaceDE/>
              <w:autoSpaceDN/>
              <w:adjustRightInd w:val="0"/>
              <w:snapToGrid w:val="0"/>
              <w:jc w:val="center"/>
              <w:rPr>
                <w:rFonts w:hint="eastAsia"/>
                <w:b/>
                <w:snapToGrid w:val="0"/>
                <w:color w:val="000000"/>
                <w:sz w:val="28"/>
                <w:szCs w:val="28"/>
                <w:highlight w:val="none"/>
              </w:rPr>
            </w:pPr>
            <w:r>
              <w:rPr>
                <w:rFonts w:hint="eastAsia"/>
                <w:snapToGrid w:val="0"/>
                <w:color w:val="000000"/>
                <w:highlight w:val="none"/>
              </w:rPr>
              <w:t>单位</w:t>
            </w:r>
          </w:p>
        </w:tc>
        <w:tc>
          <w:tcPr>
            <w:tcW w:w="911" w:type="dxa"/>
            <w:noWrap w:val="0"/>
            <w:vAlign w:val="center"/>
          </w:tcPr>
          <w:p w14:paraId="1C26965C">
            <w:pPr>
              <w:wordWrap w:val="0"/>
              <w:topLinePunct/>
              <w:autoSpaceDE/>
              <w:autoSpaceDN/>
              <w:adjustRightInd w:val="0"/>
              <w:snapToGrid w:val="0"/>
              <w:jc w:val="center"/>
              <w:rPr>
                <w:rFonts w:hint="eastAsia"/>
                <w:snapToGrid w:val="0"/>
                <w:color w:val="000000"/>
                <w:highlight w:val="none"/>
              </w:rPr>
            </w:pPr>
            <w:r>
              <w:rPr>
                <w:rFonts w:hint="eastAsia"/>
                <w:snapToGrid w:val="0"/>
                <w:color w:val="000000"/>
                <w:highlight w:val="none"/>
              </w:rPr>
              <w:t>备注</w:t>
            </w:r>
          </w:p>
        </w:tc>
      </w:tr>
      <w:tr w14:paraId="2AD955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05" w:type="dxa"/>
            <w:noWrap w:val="0"/>
            <w:vAlign w:val="center"/>
          </w:tcPr>
          <w:p w14:paraId="26EC0083">
            <w:pPr>
              <w:numPr>
                <w:ilvl w:val="0"/>
                <w:numId w:val="2"/>
              </w:numPr>
              <w:wordWrap w:val="0"/>
              <w:topLinePunct/>
              <w:autoSpaceDE/>
              <w:autoSpaceDN/>
              <w:adjustRightInd w:val="0"/>
              <w:snapToGrid w:val="0"/>
              <w:spacing w:line="360" w:lineRule="auto"/>
              <w:jc w:val="center"/>
              <w:rPr>
                <w:rFonts w:hint="eastAsia"/>
                <w:bCs/>
                <w:snapToGrid w:val="0"/>
                <w:color w:val="000000"/>
                <w:sz w:val="24"/>
                <w:szCs w:val="24"/>
                <w:highlight w:val="none"/>
              </w:rPr>
            </w:pPr>
          </w:p>
        </w:tc>
        <w:tc>
          <w:tcPr>
            <w:tcW w:w="1454" w:type="dxa"/>
            <w:noWrap w:val="0"/>
            <w:vAlign w:val="center"/>
          </w:tcPr>
          <w:p w14:paraId="3665CED3">
            <w:pPr>
              <w:wordWrap w:val="0"/>
              <w:topLinePunct/>
              <w:autoSpaceDE/>
              <w:autoSpaceDN/>
              <w:adjustRightInd w:val="0"/>
              <w:snapToGrid w:val="0"/>
              <w:spacing w:line="360" w:lineRule="auto"/>
              <w:jc w:val="center"/>
              <w:rPr>
                <w:rFonts w:hint="eastAsia" w:ascii="宋体" w:hAnsi="宋体" w:eastAsia="宋体" w:cs="宋体"/>
                <w:snapToGrid w:val="0"/>
                <w:color w:val="000000"/>
                <w:highlight w:val="none"/>
              </w:rPr>
            </w:pPr>
            <w:r>
              <w:rPr>
                <w:rFonts w:hint="eastAsia" w:ascii="宋体" w:hAnsi="宋体" w:eastAsia="宋体" w:cs="宋体"/>
                <w:snapToGrid w:val="0"/>
                <w:color w:val="000000"/>
                <w:highlight w:val="none"/>
                <w:lang w:eastAsia="zh-CN"/>
              </w:rPr>
              <w:t>▲</w:t>
            </w:r>
            <w:r>
              <w:rPr>
                <w:rFonts w:hint="eastAsia" w:ascii="宋体" w:hAnsi="宋体" w:eastAsia="宋体" w:cs="宋体"/>
                <w:snapToGrid w:val="0"/>
                <w:color w:val="000000"/>
                <w:highlight w:val="none"/>
                <w:lang w:val="en-US" w:eastAsia="zh-CN"/>
              </w:rPr>
              <w:t>关节镜刨削刀头、磨头圆形、磨头柱形</w:t>
            </w:r>
          </w:p>
        </w:tc>
        <w:tc>
          <w:tcPr>
            <w:tcW w:w="4831" w:type="dxa"/>
            <w:noWrap w:val="0"/>
            <w:vAlign w:val="center"/>
          </w:tcPr>
          <w:p w14:paraId="16DD1069">
            <w:pPr>
              <w:wordWrap w:val="0"/>
              <w:topLinePunct/>
              <w:autoSpaceDE/>
              <w:autoSpaceDN/>
              <w:adjustRightInd w:val="0"/>
              <w:snapToGrid w:val="0"/>
              <w:spacing w:line="360" w:lineRule="auto"/>
              <w:jc w:val="left"/>
              <w:rPr>
                <w:rFonts w:hint="eastAsia" w:ascii="宋体" w:hAnsi="宋体" w:eastAsia="宋体" w:cs="宋体"/>
                <w:snapToGrid w:val="0"/>
                <w:color w:val="000000"/>
                <w:highlight w:val="none"/>
                <w:lang w:val="en-US" w:eastAsia="zh-CN"/>
              </w:rPr>
            </w:pPr>
            <w:r>
              <w:rPr>
                <w:rFonts w:hint="eastAsia" w:ascii="宋体" w:hAnsi="宋体" w:eastAsia="宋体" w:cs="宋体"/>
                <w:snapToGrid w:val="0"/>
                <w:color w:val="000000"/>
                <w:highlight w:val="none"/>
                <w:lang w:val="en-US" w:eastAsia="zh-CN"/>
              </w:rPr>
              <w:t>1.所投产品具有国家27位医保编码（投标文件中需提供）。</w:t>
            </w:r>
          </w:p>
          <w:p w14:paraId="6824A733">
            <w:pPr>
              <w:wordWrap w:val="0"/>
              <w:topLinePunct/>
              <w:autoSpaceDE/>
              <w:autoSpaceDN/>
              <w:adjustRightInd w:val="0"/>
              <w:snapToGrid w:val="0"/>
              <w:spacing w:line="360" w:lineRule="auto"/>
              <w:jc w:val="left"/>
              <w:rPr>
                <w:rFonts w:hint="eastAsia" w:ascii="宋体" w:hAnsi="宋体" w:eastAsia="宋体" w:cs="宋体"/>
                <w:snapToGrid w:val="0"/>
                <w:color w:val="000000"/>
                <w:highlight w:val="none"/>
                <w:lang w:val="en-US" w:eastAsia="zh-CN"/>
              </w:rPr>
            </w:pPr>
            <w:r>
              <w:rPr>
                <w:rFonts w:hint="eastAsia" w:ascii="宋体" w:hAnsi="宋体" w:eastAsia="宋体" w:cs="宋体"/>
                <w:snapToGrid w:val="0"/>
                <w:color w:val="000000"/>
                <w:highlight w:val="none"/>
                <w:lang w:val="en-US" w:eastAsia="zh-CN"/>
              </w:rPr>
              <w:t>2.所投产品在安徽省医药集中采购平台目录内。</w:t>
            </w:r>
          </w:p>
          <w:p w14:paraId="3E7B226F">
            <w:pPr>
              <w:wordWrap w:val="0"/>
              <w:topLinePunct/>
              <w:autoSpaceDE/>
              <w:autoSpaceDN/>
              <w:adjustRightInd w:val="0"/>
              <w:snapToGrid w:val="0"/>
              <w:spacing w:line="360" w:lineRule="auto"/>
              <w:jc w:val="left"/>
              <w:rPr>
                <w:rFonts w:hint="eastAsia" w:ascii="宋体" w:hAnsi="宋体" w:eastAsia="宋体" w:cs="宋体"/>
                <w:snapToGrid w:val="0"/>
                <w:color w:val="000000"/>
                <w:highlight w:val="none"/>
                <w:lang w:val="en-US" w:eastAsia="zh-CN"/>
              </w:rPr>
            </w:pPr>
            <w:r>
              <w:rPr>
                <w:rFonts w:hint="eastAsia" w:ascii="宋体" w:hAnsi="宋体" w:eastAsia="宋体" w:cs="宋体"/>
                <w:snapToGrid w:val="0"/>
                <w:color w:val="000000"/>
                <w:highlight w:val="none"/>
                <w:lang w:val="en-US" w:eastAsia="zh-CN"/>
              </w:rPr>
              <w:t>*3.刨削刀头常用规格(直径</w:t>
            </w:r>
            <w:r>
              <w:rPr>
                <w:rFonts w:hint="default" w:ascii="Arial" w:hAnsi="Arial" w:eastAsia="宋体" w:cs="Arial"/>
                <w:snapToGrid w:val="0"/>
                <w:color w:val="000000"/>
                <w:highlight w:val="none"/>
                <w:lang w:val="en-US" w:eastAsia="zh-CN"/>
              </w:rPr>
              <w:t>×</w:t>
            </w:r>
            <w:r>
              <w:rPr>
                <w:rFonts w:hint="eastAsia" w:ascii="宋体" w:hAnsi="宋体" w:eastAsia="宋体" w:cs="宋体"/>
                <w:snapToGrid w:val="0"/>
                <w:color w:val="000000"/>
                <w:highlight w:val="none"/>
                <w:lang w:val="en-US" w:eastAsia="zh-CN"/>
              </w:rPr>
              <w:t>长度):φ2.0</w:t>
            </w:r>
            <w:r>
              <w:rPr>
                <w:rFonts w:hint="default" w:ascii="Arial" w:hAnsi="Arial" w:eastAsia="宋体" w:cs="Arial"/>
                <w:snapToGrid w:val="0"/>
                <w:color w:val="000000"/>
                <w:highlight w:val="none"/>
                <w:lang w:val="en-US" w:eastAsia="zh-CN"/>
              </w:rPr>
              <w:t>×</w:t>
            </w:r>
            <w:r>
              <w:rPr>
                <w:rFonts w:hint="eastAsia" w:ascii="宋体" w:hAnsi="宋体" w:eastAsia="宋体" w:cs="宋体"/>
                <w:snapToGrid w:val="0"/>
                <w:color w:val="000000"/>
                <w:highlight w:val="none"/>
                <w:lang w:val="en-US" w:eastAsia="zh-CN"/>
              </w:rPr>
              <w:t>147mm，φ2.0</w:t>
            </w:r>
            <w:r>
              <w:rPr>
                <w:rFonts w:hint="default" w:ascii="Arial" w:hAnsi="Arial" w:eastAsia="宋体" w:cs="Arial"/>
                <w:snapToGrid w:val="0"/>
                <w:color w:val="000000"/>
                <w:highlight w:val="none"/>
                <w:lang w:val="en-US" w:eastAsia="zh-CN"/>
              </w:rPr>
              <w:t>×</w:t>
            </w:r>
            <w:r>
              <w:rPr>
                <w:rFonts w:hint="eastAsia" w:ascii="宋体" w:hAnsi="宋体" w:eastAsia="宋体" w:cs="宋体"/>
                <w:snapToGrid w:val="0"/>
                <w:color w:val="000000"/>
                <w:highlight w:val="none"/>
                <w:lang w:val="en-US" w:eastAsia="zh-CN"/>
              </w:rPr>
              <w:t>152mm，φ2.5</w:t>
            </w:r>
            <w:r>
              <w:rPr>
                <w:rFonts w:hint="default" w:ascii="Arial" w:hAnsi="Arial" w:eastAsia="宋体" w:cs="Arial"/>
                <w:snapToGrid w:val="0"/>
                <w:color w:val="000000"/>
                <w:highlight w:val="none"/>
                <w:lang w:val="en-US" w:eastAsia="zh-CN"/>
              </w:rPr>
              <w:t>×</w:t>
            </w:r>
            <w:r>
              <w:rPr>
                <w:rFonts w:hint="eastAsia" w:ascii="宋体" w:hAnsi="宋体" w:eastAsia="宋体" w:cs="宋体"/>
                <w:snapToGrid w:val="0"/>
                <w:color w:val="000000"/>
                <w:highlight w:val="none"/>
                <w:lang w:val="en-US" w:eastAsia="zh-CN"/>
              </w:rPr>
              <w:t>147mm，φ2.5</w:t>
            </w:r>
            <w:r>
              <w:rPr>
                <w:rFonts w:hint="default" w:ascii="Arial" w:hAnsi="Arial" w:eastAsia="宋体" w:cs="Arial"/>
                <w:snapToGrid w:val="0"/>
                <w:color w:val="000000"/>
                <w:highlight w:val="none"/>
                <w:lang w:val="en-US" w:eastAsia="zh-CN"/>
              </w:rPr>
              <w:t>×</w:t>
            </w:r>
            <w:r>
              <w:rPr>
                <w:rFonts w:hint="eastAsia" w:ascii="宋体" w:hAnsi="宋体" w:eastAsia="宋体" w:cs="宋体"/>
                <w:snapToGrid w:val="0"/>
                <w:color w:val="000000"/>
                <w:highlight w:val="none"/>
                <w:lang w:val="en-US" w:eastAsia="zh-CN"/>
              </w:rPr>
              <w:t>152mm,φ3.0</w:t>
            </w:r>
            <w:r>
              <w:rPr>
                <w:rFonts w:hint="default" w:ascii="Arial" w:hAnsi="Arial" w:eastAsia="宋体" w:cs="Arial"/>
                <w:snapToGrid w:val="0"/>
                <w:color w:val="000000"/>
                <w:highlight w:val="none"/>
                <w:lang w:val="en-US" w:eastAsia="zh-CN"/>
              </w:rPr>
              <w:t>×</w:t>
            </w:r>
            <w:r>
              <w:rPr>
                <w:rFonts w:hint="eastAsia" w:ascii="宋体" w:hAnsi="宋体" w:eastAsia="宋体" w:cs="宋体"/>
                <w:snapToGrid w:val="0"/>
                <w:color w:val="000000"/>
                <w:highlight w:val="none"/>
                <w:lang w:val="en-US" w:eastAsia="zh-CN"/>
              </w:rPr>
              <w:t>147mm,φ3.5</w:t>
            </w:r>
            <w:r>
              <w:rPr>
                <w:rFonts w:hint="default" w:ascii="Arial" w:hAnsi="Arial" w:eastAsia="宋体" w:cs="Arial"/>
                <w:snapToGrid w:val="0"/>
                <w:color w:val="000000"/>
                <w:highlight w:val="none"/>
                <w:lang w:val="en-US" w:eastAsia="zh-CN"/>
              </w:rPr>
              <w:t>×</w:t>
            </w:r>
            <w:r>
              <w:rPr>
                <w:rFonts w:hint="eastAsia" w:ascii="宋体" w:hAnsi="宋体" w:eastAsia="宋体" w:cs="宋体"/>
                <w:snapToGrid w:val="0"/>
                <w:color w:val="000000"/>
                <w:highlight w:val="none"/>
                <w:lang w:val="en-US" w:eastAsia="zh-CN"/>
              </w:rPr>
              <w:t>152mm，φ4.0</w:t>
            </w:r>
            <w:r>
              <w:rPr>
                <w:rFonts w:hint="default" w:ascii="Arial" w:hAnsi="Arial" w:eastAsia="宋体" w:cs="Arial"/>
                <w:snapToGrid w:val="0"/>
                <w:color w:val="000000"/>
                <w:highlight w:val="none"/>
                <w:lang w:val="en-US" w:eastAsia="zh-CN"/>
              </w:rPr>
              <w:t>×</w:t>
            </w:r>
            <w:r>
              <w:rPr>
                <w:rFonts w:hint="eastAsia" w:ascii="宋体" w:hAnsi="宋体" w:eastAsia="宋体" w:cs="宋体"/>
                <w:snapToGrid w:val="0"/>
                <w:color w:val="000000"/>
                <w:highlight w:val="none"/>
                <w:lang w:val="en-US" w:eastAsia="zh-CN"/>
              </w:rPr>
              <w:t>187mm，φ4.0</w:t>
            </w:r>
            <w:r>
              <w:rPr>
                <w:rFonts w:hint="default" w:ascii="Arial" w:hAnsi="Arial" w:eastAsia="宋体" w:cs="Arial"/>
                <w:snapToGrid w:val="0"/>
                <w:color w:val="000000"/>
                <w:highlight w:val="none"/>
                <w:lang w:val="en-US" w:eastAsia="zh-CN"/>
              </w:rPr>
              <w:t>×</w:t>
            </w:r>
            <w:r>
              <w:rPr>
                <w:rFonts w:hint="eastAsia" w:ascii="宋体" w:hAnsi="宋体" w:eastAsia="宋体" w:cs="宋体"/>
                <w:snapToGrid w:val="0"/>
                <w:color w:val="000000"/>
                <w:highlight w:val="none"/>
                <w:lang w:val="en-US" w:eastAsia="zh-CN"/>
              </w:rPr>
              <w:t>192mm；磨头圆形常用规格(直径x长度):φ2.0</w:t>
            </w:r>
            <w:r>
              <w:rPr>
                <w:rFonts w:hint="default" w:ascii="Arial" w:hAnsi="Arial" w:eastAsia="宋体" w:cs="Arial"/>
                <w:snapToGrid w:val="0"/>
                <w:color w:val="000000"/>
                <w:highlight w:val="none"/>
                <w:lang w:val="en-US" w:eastAsia="zh-CN"/>
              </w:rPr>
              <w:t>×</w:t>
            </w:r>
            <w:r>
              <w:rPr>
                <w:rFonts w:hint="eastAsia" w:ascii="宋体" w:hAnsi="宋体" w:eastAsia="宋体" w:cs="宋体"/>
                <w:snapToGrid w:val="0"/>
                <w:color w:val="000000"/>
                <w:highlight w:val="none"/>
                <w:lang w:val="en-US" w:eastAsia="zh-CN"/>
              </w:rPr>
              <w:t>147mm，φ2.5</w:t>
            </w:r>
            <w:r>
              <w:rPr>
                <w:rFonts w:hint="default" w:ascii="Arial" w:hAnsi="Arial" w:eastAsia="宋体" w:cs="Arial"/>
                <w:snapToGrid w:val="0"/>
                <w:color w:val="000000"/>
                <w:highlight w:val="none"/>
                <w:lang w:val="en-US" w:eastAsia="zh-CN"/>
              </w:rPr>
              <w:t>×</w:t>
            </w:r>
            <w:r>
              <w:rPr>
                <w:rFonts w:hint="eastAsia" w:ascii="宋体" w:hAnsi="宋体" w:eastAsia="宋体" w:cs="宋体"/>
                <w:snapToGrid w:val="0"/>
                <w:color w:val="000000"/>
                <w:highlight w:val="none"/>
                <w:lang w:val="en-US" w:eastAsia="zh-CN"/>
              </w:rPr>
              <w:t>147mm，φ2.5</w:t>
            </w:r>
            <w:r>
              <w:rPr>
                <w:rFonts w:hint="default" w:ascii="Arial" w:hAnsi="Arial" w:eastAsia="宋体" w:cs="Arial"/>
                <w:snapToGrid w:val="0"/>
                <w:color w:val="000000"/>
                <w:highlight w:val="none"/>
                <w:lang w:val="en-US" w:eastAsia="zh-CN"/>
              </w:rPr>
              <w:t>×</w:t>
            </w:r>
            <w:r>
              <w:rPr>
                <w:rFonts w:hint="eastAsia" w:ascii="宋体" w:hAnsi="宋体" w:eastAsia="宋体" w:cs="宋体"/>
                <w:snapToGrid w:val="0"/>
                <w:color w:val="000000"/>
                <w:highlight w:val="none"/>
                <w:lang w:val="en-US" w:eastAsia="zh-CN"/>
              </w:rPr>
              <w:t>152mm，φ3.0</w:t>
            </w:r>
            <w:r>
              <w:rPr>
                <w:rFonts w:hint="default" w:ascii="Arial" w:hAnsi="Arial" w:eastAsia="宋体" w:cs="Arial"/>
                <w:snapToGrid w:val="0"/>
                <w:color w:val="000000"/>
                <w:highlight w:val="none"/>
                <w:lang w:val="en-US" w:eastAsia="zh-CN"/>
              </w:rPr>
              <w:t>×</w:t>
            </w:r>
            <w:r>
              <w:rPr>
                <w:rFonts w:hint="eastAsia" w:ascii="宋体" w:hAnsi="宋体" w:eastAsia="宋体" w:cs="宋体"/>
                <w:snapToGrid w:val="0"/>
                <w:color w:val="000000"/>
                <w:highlight w:val="none"/>
                <w:lang w:val="en-US" w:eastAsia="zh-CN"/>
              </w:rPr>
              <w:t>147mm, φ3.5</w:t>
            </w:r>
            <w:r>
              <w:rPr>
                <w:rFonts w:hint="default" w:ascii="Arial" w:hAnsi="Arial" w:eastAsia="宋体" w:cs="Arial"/>
                <w:snapToGrid w:val="0"/>
                <w:color w:val="000000"/>
                <w:highlight w:val="none"/>
                <w:lang w:val="en-US" w:eastAsia="zh-CN"/>
              </w:rPr>
              <w:t>×</w:t>
            </w:r>
            <w:r>
              <w:rPr>
                <w:rFonts w:hint="eastAsia" w:ascii="宋体" w:hAnsi="宋体" w:eastAsia="宋体" w:cs="宋体"/>
                <w:snapToGrid w:val="0"/>
                <w:color w:val="000000"/>
                <w:highlight w:val="none"/>
                <w:lang w:val="en-US" w:eastAsia="zh-CN"/>
              </w:rPr>
              <w:t>152mm，φ5.5</w:t>
            </w:r>
            <w:r>
              <w:rPr>
                <w:rFonts w:hint="default" w:ascii="Arial" w:hAnsi="Arial" w:eastAsia="宋体" w:cs="Arial"/>
                <w:snapToGrid w:val="0"/>
                <w:color w:val="000000"/>
                <w:highlight w:val="none"/>
                <w:lang w:val="en-US" w:eastAsia="zh-CN"/>
              </w:rPr>
              <w:t>×</w:t>
            </w:r>
            <w:r>
              <w:rPr>
                <w:rFonts w:hint="eastAsia" w:ascii="宋体" w:hAnsi="宋体" w:eastAsia="宋体" w:cs="宋体"/>
                <w:snapToGrid w:val="0"/>
                <w:color w:val="000000"/>
                <w:highlight w:val="none"/>
                <w:lang w:val="en-US" w:eastAsia="zh-CN"/>
              </w:rPr>
              <w:t>187mm， φ5.5</w:t>
            </w:r>
            <w:r>
              <w:rPr>
                <w:rFonts w:hint="default" w:ascii="Arial" w:hAnsi="Arial" w:eastAsia="宋体" w:cs="Arial"/>
                <w:snapToGrid w:val="0"/>
                <w:color w:val="000000"/>
                <w:highlight w:val="none"/>
                <w:lang w:val="en-US" w:eastAsia="zh-CN"/>
              </w:rPr>
              <w:t>×</w:t>
            </w:r>
            <w:r>
              <w:rPr>
                <w:rFonts w:hint="eastAsia" w:ascii="宋体" w:hAnsi="宋体" w:eastAsia="宋体" w:cs="宋体"/>
                <w:snapToGrid w:val="0"/>
                <w:color w:val="000000"/>
                <w:highlight w:val="none"/>
                <w:lang w:val="en-US" w:eastAsia="zh-CN"/>
              </w:rPr>
              <w:t>192mm；磨头柱形常用规格(值径x长度):φ3.0</w:t>
            </w:r>
            <w:r>
              <w:rPr>
                <w:rFonts w:hint="default" w:ascii="Arial" w:hAnsi="Arial" w:eastAsia="宋体" w:cs="Arial"/>
                <w:snapToGrid w:val="0"/>
                <w:color w:val="000000"/>
                <w:highlight w:val="none"/>
                <w:lang w:val="en-US" w:eastAsia="zh-CN"/>
              </w:rPr>
              <w:t>×</w:t>
            </w:r>
            <w:r>
              <w:rPr>
                <w:rFonts w:hint="eastAsia" w:ascii="宋体" w:hAnsi="宋体" w:eastAsia="宋体" w:cs="宋体"/>
                <w:snapToGrid w:val="0"/>
                <w:color w:val="000000"/>
                <w:highlight w:val="none"/>
                <w:lang w:val="en-US" w:eastAsia="zh-CN"/>
              </w:rPr>
              <w:t>147mm,φ3.5</w:t>
            </w:r>
            <w:r>
              <w:rPr>
                <w:rFonts w:hint="default" w:ascii="Arial" w:hAnsi="Arial" w:eastAsia="宋体" w:cs="Arial"/>
                <w:snapToGrid w:val="0"/>
                <w:color w:val="000000"/>
                <w:highlight w:val="none"/>
                <w:lang w:val="en-US" w:eastAsia="zh-CN"/>
              </w:rPr>
              <w:t>×</w:t>
            </w:r>
            <w:r>
              <w:rPr>
                <w:rFonts w:hint="eastAsia" w:ascii="宋体" w:hAnsi="宋体" w:eastAsia="宋体" w:cs="宋体"/>
                <w:snapToGrid w:val="0"/>
                <w:color w:val="000000"/>
                <w:highlight w:val="none"/>
                <w:lang w:val="en-US" w:eastAsia="zh-CN"/>
              </w:rPr>
              <w:t>152mm，φ4.0</w:t>
            </w:r>
            <w:r>
              <w:rPr>
                <w:rFonts w:hint="default" w:ascii="Arial" w:hAnsi="Arial" w:eastAsia="宋体" w:cs="Arial"/>
                <w:snapToGrid w:val="0"/>
                <w:color w:val="000000"/>
                <w:highlight w:val="none"/>
                <w:lang w:val="en-US" w:eastAsia="zh-CN"/>
              </w:rPr>
              <w:t>×</w:t>
            </w:r>
            <w:r>
              <w:rPr>
                <w:rFonts w:hint="eastAsia" w:ascii="宋体" w:hAnsi="宋体" w:eastAsia="宋体" w:cs="宋体"/>
                <w:snapToGrid w:val="0"/>
                <w:color w:val="000000"/>
                <w:highlight w:val="none"/>
                <w:lang w:val="en-US" w:eastAsia="zh-CN"/>
              </w:rPr>
              <w:t>187mm，φ4.0</w:t>
            </w:r>
            <w:r>
              <w:rPr>
                <w:rFonts w:hint="default" w:ascii="Arial" w:hAnsi="Arial" w:eastAsia="宋体" w:cs="Arial"/>
                <w:snapToGrid w:val="0"/>
                <w:color w:val="000000"/>
                <w:highlight w:val="none"/>
                <w:lang w:val="en-US" w:eastAsia="zh-CN"/>
              </w:rPr>
              <w:t>×</w:t>
            </w:r>
            <w:r>
              <w:rPr>
                <w:rFonts w:hint="eastAsia" w:ascii="宋体" w:hAnsi="宋体" w:eastAsia="宋体" w:cs="宋体"/>
                <w:snapToGrid w:val="0"/>
                <w:color w:val="000000"/>
                <w:highlight w:val="none"/>
                <w:lang w:val="en-US" w:eastAsia="zh-CN"/>
              </w:rPr>
              <w:t>192mm，φ5.5</w:t>
            </w:r>
            <w:r>
              <w:rPr>
                <w:rFonts w:hint="default" w:ascii="Arial" w:hAnsi="Arial" w:eastAsia="宋体" w:cs="Arial"/>
                <w:snapToGrid w:val="0"/>
                <w:color w:val="000000"/>
                <w:highlight w:val="none"/>
                <w:lang w:val="en-US" w:eastAsia="zh-CN"/>
              </w:rPr>
              <w:t>×</w:t>
            </w:r>
            <w:r>
              <w:rPr>
                <w:rFonts w:hint="eastAsia" w:ascii="宋体" w:hAnsi="宋体" w:eastAsia="宋体" w:cs="宋体"/>
                <w:snapToGrid w:val="0"/>
                <w:color w:val="000000"/>
                <w:highlight w:val="none"/>
                <w:lang w:val="en-US" w:eastAsia="zh-CN"/>
              </w:rPr>
              <w:t>187mm，φ5.5</w:t>
            </w:r>
            <w:r>
              <w:rPr>
                <w:rFonts w:hint="default" w:ascii="Arial" w:hAnsi="Arial" w:eastAsia="宋体" w:cs="Arial"/>
                <w:snapToGrid w:val="0"/>
                <w:color w:val="000000"/>
                <w:highlight w:val="none"/>
                <w:lang w:val="en-US" w:eastAsia="zh-CN"/>
              </w:rPr>
              <w:t>×</w:t>
            </w:r>
            <w:r>
              <w:rPr>
                <w:rFonts w:hint="eastAsia" w:ascii="宋体" w:hAnsi="宋体" w:eastAsia="宋体" w:cs="宋体"/>
                <w:snapToGrid w:val="0"/>
                <w:color w:val="000000"/>
                <w:highlight w:val="none"/>
                <w:lang w:val="en-US" w:eastAsia="zh-CN"/>
              </w:rPr>
              <w:t>192mm。</w:t>
            </w:r>
          </w:p>
          <w:p w14:paraId="56C78AD6">
            <w:pPr>
              <w:wordWrap w:val="0"/>
              <w:topLinePunct/>
              <w:autoSpaceDE/>
              <w:autoSpaceDN/>
              <w:adjustRightInd w:val="0"/>
              <w:snapToGrid w:val="0"/>
              <w:spacing w:line="360" w:lineRule="auto"/>
              <w:jc w:val="left"/>
              <w:rPr>
                <w:rFonts w:hint="eastAsia" w:ascii="宋体" w:hAnsi="宋体" w:eastAsia="宋体" w:cs="宋体"/>
                <w:snapToGrid w:val="0"/>
                <w:color w:val="000000"/>
                <w:highlight w:val="none"/>
                <w:lang w:val="en-US" w:eastAsia="zh-CN"/>
              </w:rPr>
            </w:pPr>
            <w:r>
              <w:rPr>
                <w:rFonts w:hint="eastAsia" w:ascii="宋体" w:hAnsi="宋体" w:eastAsia="宋体" w:cs="宋体"/>
                <w:snapToGrid w:val="0"/>
                <w:color w:val="000000"/>
                <w:highlight w:val="none"/>
                <w:lang w:val="en-US" w:eastAsia="zh-CN"/>
              </w:rPr>
              <w:t>4.所投产品是针对关节镜下软组织进行刨削打磨设计的刨刀和打磨钻。能满足肩、肘、膝、踝、髋各种复杂手术的需求。</w:t>
            </w:r>
          </w:p>
          <w:p w14:paraId="395C4F32">
            <w:pPr>
              <w:wordWrap w:val="0"/>
              <w:topLinePunct/>
              <w:autoSpaceDE/>
              <w:autoSpaceDN/>
              <w:adjustRightInd w:val="0"/>
              <w:snapToGrid w:val="0"/>
              <w:spacing w:line="360" w:lineRule="auto"/>
              <w:jc w:val="left"/>
              <w:rPr>
                <w:rFonts w:hint="eastAsia" w:ascii="宋体" w:hAnsi="宋体" w:eastAsia="宋体" w:cs="宋体"/>
                <w:snapToGrid w:val="0"/>
                <w:color w:val="000000"/>
                <w:highlight w:val="none"/>
              </w:rPr>
            </w:pPr>
            <w:r>
              <w:rPr>
                <w:rFonts w:hint="eastAsia" w:ascii="宋体" w:hAnsi="宋体" w:eastAsia="宋体" w:cs="宋体"/>
                <w:snapToGrid w:val="0"/>
                <w:color w:val="000000"/>
                <w:highlight w:val="none"/>
                <w:lang w:val="en-US" w:eastAsia="zh-CN"/>
              </w:rPr>
              <w:t>*5.投标单位需承诺，中标后提供一套关节镜动力系统设备供招标人使用，设备所有权归中标人所有，费用含在投标报价中，投标人综合考虑。（提供承诺函并加盖公章）</w:t>
            </w:r>
          </w:p>
        </w:tc>
        <w:tc>
          <w:tcPr>
            <w:tcW w:w="885" w:type="dxa"/>
            <w:noWrap w:val="0"/>
            <w:vAlign w:val="center"/>
          </w:tcPr>
          <w:p w14:paraId="08CB3B4E">
            <w:pPr>
              <w:wordWrap w:val="0"/>
              <w:topLinePunct/>
              <w:autoSpaceDE/>
              <w:autoSpaceDN/>
              <w:adjustRightInd w:val="0"/>
              <w:snapToGrid w:val="0"/>
              <w:spacing w:line="360" w:lineRule="auto"/>
              <w:jc w:val="center"/>
              <w:rPr>
                <w:rFonts w:hint="eastAsia" w:ascii="宋体" w:hAnsi="宋体" w:eastAsia="宋体" w:cs="宋体"/>
                <w:snapToGrid w:val="0"/>
                <w:color w:val="000000"/>
                <w:highlight w:val="none"/>
              </w:rPr>
            </w:pPr>
            <w:r>
              <w:rPr>
                <w:rFonts w:hint="eastAsia" w:ascii="宋体" w:hAnsi="宋体" w:eastAsia="宋体" w:cs="宋体"/>
                <w:snapToGrid w:val="0"/>
                <w:color w:val="000000"/>
                <w:highlight w:val="none"/>
                <w:lang w:val="en-US" w:eastAsia="zh-CN"/>
              </w:rPr>
              <w:t>1800</w:t>
            </w:r>
          </w:p>
        </w:tc>
        <w:tc>
          <w:tcPr>
            <w:tcW w:w="617" w:type="dxa"/>
            <w:noWrap w:val="0"/>
            <w:vAlign w:val="center"/>
          </w:tcPr>
          <w:p w14:paraId="3C29832C">
            <w:pPr>
              <w:wordWrap w:val="0"/>
              <w:topLinePunct/>
              <w:autoSpaceDE/>
              <w:autoSpaceDN/>
              <w:adjustRightInd w:val="0"/>
              <w:snapToGrid w:val="0"/>
              <w:spacing w:line="360" w:lineRule="auto"/>
              <w:jc w:val="center"/>
              <w:rPr>
                <w:rFonts w:hint="eastAsia" w:ascii="宋体" w:hAnsi="宋体" w:eastAsia="宋体" w:cs="宋体"/>
                <w:snapToGrid w:val="0"/>
                <w:color w:val="000000"/>
                <w:highlight w:val="none"/>
              </w:rPr>
            </w:pPr>
            <w:r>
              <w:rPr>
                <w:rFonts w:hint="eastAsia" w:ascii="宋体" w:hAnsi="宋体" w:eastAsia="宋体" w:cs="宋体"/>
                <w:snapToGrid w:val="0"/>
                <w:color w:val="000000"/>
                <w:highlight w:val="none"/>
                <w:lang w:val="en-US" w:eastAsia="zh-CN"/>
              </w:rPr>
              <w:t>个</w:t>
            </w:r>
          </w:p>
        </w:tc>
        <w:tc>
          <w:tcPr>
            <w:tcW w:w="911" w:type="dxa"/>
            <w:noWrap w:val="0"/>
            <w:vAlign w:val="center"/>
          </w:tcPr>
          <w:p w14:paraId="21B926AD">
            <w:pPr>
              <w:wordWrap w:val="0"/>
              <w:topLinePunct/>
              <w:autoSpaceDE/>
              <w:autoSpaceDN/>
              <w:adjustRightInd w:val="0"/>
              <w:snapToGrid w:val="0"/>
              <w:spacing w:line="360" w:lineRule="auto"/>
              <w:jc w:val="center"/>
              <w:rPr>
                <w:rFonts w:hint="default" w:ascii="宋体" w:hAnsi="宋体" w:eastAsia="宋体" w:cs="宋体"/>
                <w:snapToGrid w:val="0"/>
                <w:color w:val="000000"/>
                <w:highlight w:val="none"/>
                <w:lang w:val="en-US" w:eastAsia="zh-CN"/>
              </w:rPr>
            </w:pPr>
            <w:r>
              <w:rPr>
                <w:rFonts w:hint="eastAsia" w:ascii="宋体" w:hAnsi="宋体" w:eastAsia="宋体" w:cs="宋体"/>
                <w:snapToGrid w:val="0"/>
                <w:color w:val="000000"/>
                <w:highlight w:val="none"/>
                <w:lang w:val="en-US" w:eastAsia="zh-CN"/>
              </w:rPr>
              <w:t>第</w:t>
            </w:r>
            <w:r>
              <w:rPr>
                <w:rFonts w:hint="eastAsia" w:cs="宋体"/>
                <w:snapToGrid w:val="0"/>
                <w:color w:val="000000"/>
                <w:highlight w:val="none"/>
                <w:lang w:val="en-US" w:eastAsia="zh-CN"/>
              </w:rPr>
              <w:t>二</w:t>
            </w:r>
            <w:r>
              <w:rPr>
                <w:rFonts w:hint="eastAsia" w:ascii="宋体" w:hAnsi="宋体" w:eastAsia="宋体" w:cs="宋体"/>
                <w:snapToGrid w:val="0"/>
                <w:color w:val="000000"/>
                <w:highlight w:val="none"/>
                <w:lang w:val="en-US" w:eastAsia="zh-CN"/>
              </w:rPr>
              <w:t>类医疗器</w:t>
            </w:r>
            <w:bookmarkStart w:id="15" w:name="_GoBack"/>
            <w:bookmarkEnd w:id="15"/>
            <w:r>
              <w:rPr>
                <w:rFonts w:hint="eastAsia" w:ascii="宋体" w:hAnsi="宋体" w:eastAsia="宋体" w:cs="宋体"/>
                <w:snapToGrid w:val="0"/>
                <w:color w:val="000000"/>
                <w:highlight w:val="none"/>
                <w:lang w:val="en-US" w:eastAsia="zh-CN"/>
              </w:rPr>
              <w:t>械</w:t>
            </w:r>
          </w:p>
        </w:tc>
      </w:tr>
    </w:tbl>
    <w:p w14:paraId="12B566FC">
      <w:pPr>
        <w:pStyle w:val="3"/>
        <w:pageBreakBefore/>
        <w:ind w:right="295"/>
        <w:rPr>
          <w:rFonts w:hint="eastAsia" w:ascii="宋体" w:hAnsi="宋体" w:eastAsia="宋体" w:cs="宋体"/>
          <w:color w:val="000000"/>
          <w:highlight w:val="none"/>
        </w:rPr>
      </w:pPr>
      <w:bookmarkStart w:id="5" w:name="_Toc25937"/>
      <w:bookmarkStart w:id="6" w:name="_Toc31329"/>
      <w:bookmarkStart w:id="7" w:name="_Toc6845"/>
      <w:r>
        <w:rPr>
          <w:rFonts w:hint="eastAsia" w:ascii="宋体" w:hAnsi="宋体" w:eastAsia="宋体" w:cs="宋体"/>
          <w:color w:val="000000"/>
          <w:highlight w:val="none"/>
        </w:rPr>
        <w:t>第四章</w:t>
      </w:r>
      <w:r>
        <w:rPr>
          <w:rFonts w:hint="eastAsia" w:ascii="宋体" w:hAnsi="宋体" w:eastAsia="宋体" w:cs="宋体"/>
          <w:color w:val="000000"/>
          <w:highlight w:val="none"/>
          <w:lang w:val="en-US"/>
        </w:rPr>
        <w:t xml:space="preserve">  </w:t>
      </w:r>
      <w:r>
        <w:rPr>
          <w:rFonts w:hint="eastAsia" w:ascii="宋体" w:hAnsi="宋体" w:eastAsia="宋体" w:cs="宋体"/>
          <w:color w:val="000000"/>
          <w:highlight w:val="none"/>
        </w:rPr>
        <w:t>评标办法</w:t>
      </w:r>
      <w:bookmarkEnd w:id="5"/>
      <w:bookmarkEnd w:id="6"/>
      <w:bookmarkEnd w:id="7"/>
    </w:p>
    <w:p w14:paraId="1E120120">
      <w:pPr>
        <w:spacing w:line="360" w:lineRule="auto"/>
        <w:ind w:firstLine="562" w:firstLineChars="200"/>
        <w:jc w:val="center"/>
        <w:rPr>
          <w:rFonts w:hint="eastAsia"/>
          <w:b/>
          <w:color w:val="000000"/>
          <w:sz w:val="24"/>
          <w:szCs w:val="24"/>
          <w:highlight w:val="none"/>
        </w:rPr>
      </w:pPr>
      <w:bookmarkStart w:id="8" w:name="_Toc1365"/>
      <w:r>
        <w:rPr>
          <w:rFonts w:hint="eastAsia"/>
          <w:b/>
          <w:color w:val="000000"/>
          <w:sz w:val="28"/>
          <w:szCs w:val="28"/>
          <w:highlight w:val="none"/>
        </w:rPr>
        <w:t>综合评估法</w:t>
      </w:r>
      <w:bookmarkEnd w:id="8"/>
    </w:p>
    <w:p w14:paraId="3452416F">
      <w:pPr>
        <w:spacing w:line="360" w:lineRule="auto"/>
        <w:ind w:firstLine="422" w:firstLineChars="200"/>
        <w:outlineLvl w:val="1"/>
        <w:rPr>
          <w:rFonts w:hint="eastAsia"/>
          <w:b/>
          <w:color w:val="000000"/>
          <w:sz w:val="21"/>
          <w:szCs w:val="21"/>
          <w:highlight w:val="none"/>
        </w:rPr>
      </w:pPr>
      <w:bookmarkStart w:id="9" w:name="_Toc32531"/>
      <w:r>
        <w:rPr>
          <w:rFonts w:hint="eastAsia"/>
          <w:b/>
          <w:color w:val="000000"/>
          <w:sz w:val="21"/>
          <w:szCs w:val="21"/>
          <w:highlight w:val="none"/>
        </w:rPr>
        <w:t>1.评审原则</w:t>
      </w:r>
      <w:bookmarkEnd w:id="9"/>
      <w:r>
        <w:rPr>
          <w:rFonts w:hint="eastAsia"/>
          <w:b/>
          <w:color w:val="000000"/>
          <w:sz w:val="21"/>
          <w:szCs w:val="21"/>
          <w:highlight w:val="none"/>
        </w:rPr>
        <w:t xml:space="preserve"> </w:t>
      </w:r>
    </w:p>
    <w:p w14:paraId="04DD3459">
      <w:pPr>
        <w:spacing w:line="360" w:lineRule="auto"/>
        <w:ind w:firstLine="420" w:firstLineChars="200"/>
        <w:rPr>
          <w:rFonts w:hint="eastAsia"/>
          <w:sz w:val="21"/>
          <w:szCs w:val="21"/>
          <w:highlight w:val="none"/>
        </w:rPr>
      </w:pPr>
      <w:r>
        <w:rPr>
          <w:rFonts w:hint="eastAsia"/>
          <w:sz w:val="21"/>
          <w:szCs w:val="21"/>
          <w:highlight w:val="none"/>
        </w:rPr>
        <w:t>1.1合法、合规原则。</w:t>
      </w:r>
    </w:p>
    <w:p w14:paraId="76E17A36">
      <w:pPr>
        <w:spacing w:line="360" w:lineRule="auto"/>
        <w:ind w:firstLine="420" w:firstLineChars="200"/>
        <w:rPr>
          <w:rFonts w:hint="eastAsia"/>
          <w:sz w:val="21"/>
          <w:szCs w:val="21"/>
          <w:highlight w:val="none"/>
        </w:rPr>
      </w:pPr>
      <w:r>
        <w:rPr>
          <w:rFonts w:hint="eastAsia"/>
          <w:sz w:val="21"/>
          <w:szCs w:val="21"/>
          <w:highlight w:val="none"/>
        </w:rPr>
        <w:t>1.</w:t>
      </w:r>
      <w:r>
        <w:rPr>
          <w:rFonts w:hint="eastAsia"/>
          <w:sz w:val="21"/>
          <w:szCs w:val="21"/>
          <w:highlight w:val="none"/>
          <w:lang w:val="en-US"/>
        </w:rPr>
        <w:t>2</w:t>
      </w:r>
      <w:r>
        <w:rPr>
          <w:rFonts w:hint="eastAsia"/>
          <w:sz w:val="21"/>
          <w:szCs w:val="21"/>
          <w:highlight w:val="none"/>
        </w:rPr>
        <w:t>公平、公正、科学、审慎、择优原则。</w:t>
      </w:r>
    </w:p>
    <w:p w14:paraId="1215A267">
      <w:pPr>
        <w:spacing w:line="360" w:lineRule="auto"/>
        <w:ind w:firstLine="420" w:firstLineChars="200"/>
        <w:rPr>
          <w:rFonts w:hint="eastAsia"/>
          <w:sz w:val="21"/>
          <w:szCs w:val="21"/>
          <w:highlight w:val="none"/>
        </w:rPr>
      </w:pPr>
      <w:r>
        <w:rPr>
          <w:rFonts w:hint="eastAsia"/>
          <w:sz w:val="21"/>
          <w:szCs w:val="21"/>
          <w:highlight w:val="none"/>
        </w:rPr>
        <w:t>1.</w:t>
      </w:r>
      <w:r>
        <w:rPr>
          <w:rFonts w:hint="eastAsia"/>
          <w:sz w:val="21"/>
          <w:szCs w:val="21"/>
          <w:highlight w:val="none"/>
          <w:lang w:val="en-US"/>
        </w:rPr>
        <w:t>3</w:t>
      </w:r>
      <w:r>
        <w:rPr>
          <w:rFonts w:hint="eastAsia"/>
          <w:sz w:val="21"/>
          <w:szCs w:val="21"/>
          <w:highlight w:val="none"/>
        </w:rPr>
        <w:t>高分优先原则。衡量投标文件满足招标文件规定各项评审标准的程度，折算为综合得分分值，依据每个投标人的综合得分由高到低，依次确定排名顺序。</w:t>
      </w:r>
    </w:p>
    <w:p w14:paraId="19EFA7F1">
      <w:pPr>
        <w:spacing w:line="360" w:lineRule="auto"/>
        <w:ind w:firstLine="422" w:firstLineChars="200"/>
        <w:outlineLvl w:val="1"/>
        <w:rPr>
          <w:rFonts w:hint="eastAsia"/>
          <w:b/>
          <w:color w:val="000000"/>
          <w:sz w:val="21"/>
          <w:szCs w:val="21"/>
          <w:highlight w:val="none"/>
        </w:rPr>
      </w:pPr>
      <w:bookmarkStart w:id="10" w:name="_Toc12072"/>
      <w:r>
        <w:rPr>
          <w:rFonts w:hint="eastAsia"/>
          <w:b/>
          <w:color w:val="000000"/>
          <w:sz w:val="21"/>
          <w:szCs w:val="21"/>
          <w:highlight w:val="none"/>
        </w:rPr>
        <w:t>2.评审分值分配（满分100分）</w:t>
      </w:r>
      <w:bookmarkEnd w:id="10"/>
    </w:p>
    <w:p w14:paraId="54F7D037">
      <w:pPr>
        <w:spacing w:line="360" w:lineRule="auto"/>
        <w:ind w:firstLine="420" w:firstLineChars="200"/>
        <w:rPr>
          <w:rFonts w:hint="eastAsia"/>
          <w:color w:val="000000"/>
          <w:sz w:val="21"/>
          <w:szCs w:val="21"/>
          <w:highlight w:val="none"/>
        </w:rPr>
      </w:pPr>
      <w:r>
        <w:rPr>
          <w:rFonts w:hint="eastAsia"/>
          <w:color w:val="000000"/>
          <w:sz w:val="21"/>
          <w:szCs w:val="21"/>
          <w:highlight w:val="none"/>
        </w:rPr>
        <w:t>2.1商务标（</w:t>
      </w:r>
      <w:r>
        <w:rPr>
          <w:rFonts w:hint="eastAsia"/>
          <w:color w:val="000000"/>
          <w:sz w:val="21"/>
          <w:szCs w:val="21"/>
          <w:highlight w:val="none"/>
          <w:lang w:val="en-US"/>
        </w:rPr>
        <w:t>3</w:t>
      </w:r>
      <w:r>
        <w:rPr>
          <w:rFonts w:hint="eastAsia"/>
          <w:color w:val="000000"/>
          <w:sz w:val="21"/>
          <w:szCs w:val="21"/>
          <w:highlight w:val="none"/>
          <w:lang w:val="en-US" w:eastAsia="zh-CN"/>
        </w:rPr>
        <w:t>6</w:t>
      </w:r>
      <w:r>
        <w:rPr>
          <w:rFonts w:hint="eastAsia"/>
          <w:color w:val="000000"/>
          <w:sz w:val="21"/>
          <w:szCs w:val="21"/>
          <w:highlight w:val="none"/>
        </w:rPr>
        <w:t>分）</w:t>
      </w:r>
    </w:p>
    <w:p w14:paraId="3D741299">
      <w:pPr>
        <w:spacing w:line="360" w:lineRule="auto"/>
        <w:ind w:firstLine="420" w:firstLineChars="200"/>
        <w:rPr>
          <w:rFonts w:hint="eastAsia"/>
          <w:color w:val="000000"/>
          <w:sz w:val="21"/>
          <w:szCs w:val="21"/>
          <w:highlight w:val="none"/>
        </w:rPr>
      </w:pPr>
      <w:r>
        <w:rPr>
          <w:rFonts w:hint="eastAsia"/>
          <w:color w:val="000000"/>
          <w:sz w:val="21"/>
          <w:szCs w:val="21"/>
          <w:highlight w:val="none"/>
        </w:rPr>
        <w:t>2.2技术标（</w:t>
      </w:r>
      <w:r>
        <w:rPr>
          <w:rFonts w:hint="eastAsia"/>
          <w:color w:val="000000"/>
          <w:sz w:val="21"/>
          <w:szCs w:val="21"/>
          <w:highlight w:val="none"/>
          <w:lang w:val="en-US"/>
        </w:rPr>
        <w:t>6</w:t>
      </w:r>
      <w:r>
        <w:rPr>
          <w:rFonts w:hint="eastAsia"/>
          <w:color w:val="000000"/>
          <w:sz w:val="21"/>
          <w:szCs w:val="21"/>
          <w:highlight w:val="none"/>
          <w:lang w:val="en-US" w:eastAsia="zh-CN"/>
        </w:rPr>
        <w:t>4</w:t>
      </w:r>
      <w:r>
        <w:rPr>
          <w:rFonts w:hint="eastAsia"/>
          <w:color w:val="000000"/>
          <w:sz w:val="21"/>
          <w:szCs w:val="21"/>
          <w:highlight w:val="none"/>
        </w:rPr>
        <w:t>分）</w:t>
      </w:r>
    </w:p>
    <w:p w14:paraId="2DA2AD16">
      <w:pPr>
        <w:spacing w:line="360" w:lineRule="auto"/>
        <w:ind w:firstLine="422" w:firstLineChars="200"/>
        <w:outlineLvl w:val="1"/>
        <w:rPr>
          <w:rFonts w:hint="eastAsia"/>
          <w:b/>
          <w:color w:val="000000"/>
          <w:sz w:val="21"/>
          <w:szCs w:val="21"/>
          <w:highlight w:val="none"/>
        </w:rPr>
      </w:pPr>
      <w:bookmarkStart w:id="11" w:name="_Toc1772"/>
      <w:r>
        <w:rPr>
          <w:rFonts w:hint="eastAsia"/>
          <w:b/>
          <w:color w:val="000000"/>
          <w:sz w:val="21"/>
          <w:szCs w:val="21"/>
          <w:highlight w:val="none"/>
        </w:rPr>
        <w:t>3.评审内容（数值计算结果均保留两位小数，第三位四舍五入）</w:t>
      </w:r>
      <w:bookmarkEnd w:id="11"/>
    </w:p>
    <w:p w14:paraId="45D70BAE">
      <w:pPr>
        <w:spacing w:line="360" w:lineRule="auto"/>
        <w:ind w:firstLine="420" w:firstLineChars="200"/>
        <w:rPr>
          <w:rFonts w:hint="eastAsia"/>
          <w:color w:val="000000"/>
          <w:sz w:val="21"/>
          <w:szCs w:val="21"/>
          <w:highlight w:val="none"/>
        </w:rPr>
      </w:pPr>
      <w:r>
        <w:rPr>
          <w:rFonts w:hint="eastAsia"/>
          <w:color w:val="000000"/>
          <w:sz w:val="21"/>
          <w:szCs w:val="21"/>
          <w:highlight w:val="none"/>
        </w:rPr>
        <w:t>3.1资格性和符合性审查内容及标准</w:t>
      </w:r>
    </w:p>
    <w:p w14:paraId="1DEB0298">
      <w:pPr>
        <w:spacing w:line="360" w:lineRule="auto"/>
        <w:ind w:firstLine="420" w:firstLineChars="200"/>
        <w:rPr>
          <w:rFonts w:hint="eastAsia"/>
          <w:color w:val="000000"/>
          <w:sz w:val="21"/>
          <w:szCs w:val="21"/>
          <w:highlight w:val="none"/>
        </w:rPr>
      </w:pPr>
      <w:r>
        <w:rPr>
          <w:rFonts w:hint="eastAsia"/>
          <w:color w:val="000000"/>
          <w:sz w:val="21"/>
          <w:szCs w:val="21"/>
          <w:highlight w:val="none"/>
        </w:rPr>
        <w:t>评标委员会对投标文件的资格性响应和符合性响应作合格性审查, 审查结论分为“合格”与“不合格”。审查不合格的投标文件应做</w:t>
      </w:r>
      <w:r>
        <w:rPr>
          <w:rFonts w:hint="eastAsia"/>
          <w:color w:val="000000"/>
          <w:sz w:val="21"/>
          <w:szCs w:val="21"/>
          <w:highlight w:val="none"/>
          <w:lang w:val="en-US"/>
        </w:rPr>
        <w:t>否决</w:t>
      </w:r>
      <w:r>
        <w:rPr>
          <w:rFonts w:hint="eastAsia"/>
          <w:color w:val="000000"/>
          <w:sz w:val="21"/>
          <w:szCs w:val="21"/>
          <w:highlight w:val="none"/>
        </w:rPr>
        <w:t>投标处理，不再进行后续评审。</w:t>
      </w:r>
    </w:p>
    <w:p w14:paraId="3330D02A">
      <w:pPr>
        <w:spacing w:line="360" w:lineRule="auto"/>
        <w:ind w:firstLine="420" w:firstLineChars="200"/>
        <w:rPr>
          <w:rFonts w:hint="eastAsia"/>
          <w:color w:val="000000"/>
          <w:sz w:val="21"/>
          <w:szCs w:val="21"/>
          <w:highlight w:val="none"/>
        </w:rPr>
      </w:pPr>
      <w:r>
        <w:rPr>
          <w:rFonts w:hint="eastAsia"/>
          <w:color w:val="000000"/>
          <w:sz w:val="21"/>
          <w:szCs w:val="21"/>
          <w:highlight w:val="none"/>
        </w:rPr>
        <w:t>有下列情形之一的，应做</w:t>
      </w:r>
      <w:r>
        <w:rPr>
          <w:rFonts w:hint="eastAsia"/>
          <w:color w:val="000000"/>
          <w:sz w:val="21"/>
          <w:szCs w:val="21"/>
          <w:highlight w:val="none"/>
          <w:lang w:val="en-US"/>
        </w:rPr>
        <w:t>否决</w:t>
      </w:r>
      <w:r>
        <w:rPr>
          <w:rFonts w:hint="eastAsia"/>
          <w:color w:val="000000"/>
          <w:sz w:val="21"/>
          <w:szCs w:val="21"/>
          <w:highlight w:val="none"/>
        </w:rPr>
        <w:t>投标处理：</w:t>
      </w:r>
    </w:p>
    <w:tbl>
      <w:tblPr>
        <w:tblStyle w:val="9"/>
        <w:tblW w:w="8828" w:type="dxa"/>
        <w:tblInd w:w="-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961"/>
        <w:gridCol w:w="3232"/>
        <w:gridCol w:w="4635"/>
      </w:tblGrid>
      <w:tr w14:paraId="207A17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5" w:hRule="atLeast"/>
        </w:trPr>
        <w:tc>
          <w:tcPr>
            <w:tcW w:w="4193" w:type="dxa"/>
            <w:gridSpan w:val="2"/>
            <w:noWrap w:val="0"/>
            <w:vAlign w:val="center"/>
          </w:tcPr>
          <w:p w14:paraId="34710AC0">
            <w:pPr>
              <w:jc w:val="center"/>
              <w:rPr>
                <w:rFonts w:hint="eastAsia"/>
                <w:color w:val="000000"/>
                <w:sz w:val="21"/>
                <w:szCs w:val="21"/>
                <w:highlight w:val="none"/>
              </w:rPr>
            </w:pPr>
            <w:r>
              <w:rPr>
                <w:color w:val="000000"/>
                <w:sz w:val="21"/>
                <w:szCs w:val="21"/>
                <w:highlight w:val="none"/>
              </w:rPr>
              <w:t>审查内容</w:t>
            </w:r>
          </w:p>
        </w:tc>
        <w:tc>
          <w:tcPr>
            <w:tcW w:w="4635" w:type="dxa"/>
            <w:noWrap w:val="0"/>
            <w:vAlign w:val="center"/>
          </w:tcPr>
          <w:p w14:paraId="487BCE3A">
            <w:pPr>
              <w:jc w:val="center"/>
              <w:rPr>
                <w:rFonts w:hint="eastAsia"/>
                <w:color w:val="000000"/>
                <w:sz w:val="21"/>
                <w:szCs w:val="21"/>
                <w:highlight w:val="none"/>
              </w:rPr>
            </w:pPr>
            <w:r>
              <w:rPr>
                <w:color w:val="000000"/>
                <w:sz w:val="21"/>
                <w:szCs w:val="21"/>
                <w:highlight w:val="none"/>
              </w:rPr>
              <w:t>审查标准</w:t>
            </w:r>
          </w:p>
        </w:tc>
      </w:tr>
      <w:tr w14:paraId="45781B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53" w:hRule="atLeast"/>
        </w:trPr>
        <w:tc>
          <w:tcPr>
            <w:tcW w:w="961" w:type="dxa"/>
            <w:vMerge w:val="restart"/>
            <w:noWrap w:val="0"/>
            <w:vAlign w:val="center"/>
          </w:tcPr>
          <w:p w14:paraId="0D672DC1">
            <w:pPr>
              <w:rPr>
                <w:rFonts w:hint="eastAsia"/>
                <w:color w:val="000000"/>
                <w:sz w:val="21"/>
                <w:szCs w:val="21"/>
                <w:highlight w:val="none"/>
              </w:rPr>
            </w:pPr>
            <w:r>
              <w:rPr>
                <w:color w:val="000000"/>
                <w:sz w:val="21"/>
                <w:szCs w:val="21"/>
                <w:highlight w:val="none"/>
              </w:rPr>
              <w:t>资格性审查</w:t>
            </w:r>
          </w:p>
        </w:tc>
        <w:tc>
          <w:tcPr>
            <w:tcW w:w="3232" w:type="dxa"/>
            <w:noWrap w:val="0"/>
            <w:vAlign w:val="center"/>
          </w:tcPr>
          <w:p w14:paraId="58E2E28A">
            <w:pPr>
              <w:rPr>
                <w:rFonts w:hint="eastAsia"/>
                <w:color w:val="000000"/>
                <w:sz w:val="21"/>
                <w:szCs w:val="21"/>
                <w:highlight w:val="none"/>
              </w:rPr>
            </w:pPr>
            <w:r>
              <w:rPr>
                <w:color w:val="000000"/>
                <w:sz w:val="21"/>
                <w:szCs w:val="21"/>
                <w:highlight w:val="none"/>
              </w:rPr>
              <w:t>营业执照</w:t>
            </w:r>
          </w:p>
        </w:tc>
        <w:tc>
          <w:tcPr>
            <w:tcW w:w="4635" w:type="dxa"/>
            <w:noWrap w:val="0"/>
            <w:vAlign w:val="center"/>
          </w:tcPr>
          <w:p w14:paraId="667FA841">
            <w:pPr>
              <w:tabs>
                <w:tab w:val="center" w:pos="2378"/>
              </w:tabs>
              <w:rPr>
                <w:rFonts w:hint="eastAsia"/>
                <w:color w:val="000000"/>
                <w:sz w:val="21"/>
                <w:szCs w:val="21"/>
                <w:highlight w:val="none"/>
              </w:rPr>
            </w:pPr>
            <w:r>
              <w:rPr>
                <w:color w:val="000000"/>
                <w:sz w:val="21"/>
                <w:szCs w:val="21"/>
                <w:highlight w:val="none"/>
              </w:rPr>
              <w:t>未提供合法有效营业执照</w:t>
            </w:r>
          </w:p>
        </w:tc>
      </w:tr>
      <w:tr w14:paraId="275C5E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961" w:type="dxa"/>
            <w:vMerge w:val="continue"/>
            <w:noWrap w:val="0"/>
            <w:vAlign w:val="center"/>
          </w:tcPr>
          <w:p w14:paraId="46E8DF63">
            <w:pPr>
              <w:rPr>
                <w:rFonts w:hint="eastAsia"/>
                <w:color w:val="000000"/>
                <w:sz w:val="21"/>
                <w:szCs w:val="21"/>
                <w:highlight w:val="none"/>
              </w:rPr>
            </w:pPr>
          </w:p>
        </w:tc>
        <w:tc>
          <w:tcPr>
            <w:tcW w:w="3232" w:type="dxa"/>
            <w:noWrap w:val="0"/>
            <w:vAlign w:val="center"/>
          </w:tcPr>
          <w:p w14:paraId="61C9FDE3">
            <w:pPr>
              <w:rPr>
                <w:rFonts w:hint="eastAsia"/>
                <w:color w:val="000000"/>
                <w:sz w:val="21"/>
                <w:szCs w:val="21"/>
                <w:highlight w:val="none"/>
              </w:rPr>
            </w:pPr>
            <w:r>
              <w:rPr>
                <w:rFonts w:hint="eastAsia"/>
                <w:color w:val="000000"/>
                <w:sz w:val="21"/>
                <w:szCs w:val="21"/>
                <w:highlight w:val="none"/>
              </w:rPr>
              <w:t>资格</w:t>
            </w:r>
            <w:r>
              <w:rPr>
                <w:color w:val="000000"/>
                <w:sz w:val="21"/>
                <w:szCs w:val="21"/>
                <w:highlight w:val="none"/>
              </w:rPr>
              <w:t>条件</w:t>
            </w:r>
          </w:p>
        </w:tc>
        <w:tc>
          <w:tcPr>
            <w:tcW w:w="4635" w:type="dxa"/>
            <w:noWrap w:val="0"/>
            <w:vAlign w:val="center"/>
          </w:tcPr>
          <w:p w14:paraId="7944CC33">
            <w:pPr>
              <w:rPr>
                <w:rFonts w:hint="eastAsia"/>
                <w:color w:val="000000"/>
                <w:sz w:val="21"/>
                <w:szCs w:val="21"/>
                <w:highlight w:val="none"/>
              </w:rPr>
            </w:pPr>
            <w:r>
              <w:rPr>
                <w:color w:val="000000"/>
                <w:sz w:val="21"/>
                <w:szCs w:val="21"/>
                <w:highlight w:val="none"/>
              </w:rPr>
              <w:t>不符合招标文件要求</w:t>
            </w:r>
          </w:p>
        </w:tc>
      </w:tr>
      <w:tr w14:paraId="6D1B7E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961" w:type="dxa"/>
            <w:vMerge w:val="continue"/>
            <w:noWrap w:val="0"/>
            <w:vAlign w:val="center"/>
          </w:tcPr>
          <w:p w14:paraId="2EC46811">
            <w:pPr>
              <w:rPr>
                <w:rFonts w:hint="eastAsia"/>
                <w:color w:val="000000"/>
                <w:sz w:val="21"/>
                <w:szCs w:val="21"/>
                <w:highlight w:val="none"/>
              </w:rPr>
            </w:pPr>
          </w:p>
        </w:tc>
        <w:tc>
          <w:tcPr>
            <w:tcW w:w="3232" w:type="dxa"/>
            <w:noWrap w:val="0"/>
            <w:vAlign w:val="center"/>
          </w:tcPr>
          <w:p w14:paraId="4D844BD3">
            <w:pPr>
              <w:rPr>
                <w:rFonts w:hint="eastAsia"/>
                <w:color w:val="000000"/>
                <w:sz w:val="21"/>
                <w:szCs w:val="21"/>
                <w:highlight w:val="none"/>
              </w:rPr>
            </w:pPr>
            <w:r>
              <w:rPr>
                <w:color w:val="000000"/>
                <w:sz w:val="21"/>
                <w:szCs w:val="21"/>
                <w:highlight w:val="none"/>
              </w:rPr>
              <w:t>其他</w:t>
            </w:r>
            <w:r>
              <w:rPr>
                <w:rFonts w:hint="eastAsia"/>
                <w:color w:val="000000"/>
                <w:sz w:val="21"/>
                <w:szCs w:val="21"/>
                <w:highlight w:val="none"/>
              </w:rPr>
              <w:t>要求</w:t>
            </w:r>
          </w:p>
        </w:tc>
        <w:tc>
          <w:tcPr>
            <w:tcW w:w="4635" w:type="dxa"/>
            <w:noWrap w:val="0"/>
            <w:vAlign w:val="center"/>
          </w:tcPr>
          <w:p w14:paraId="64D4337A">
            <w:pPr>
              <w:spacing w:line="360" w:lineRule="exact"/>
              <w:rPr>
                <w:rFonts w:hint="eastAsia"/>
                <w:color w:val="000000"/>
                <w:sz w:val="21"/>
                <w:szCs w:val="21"/>
                <w:highlight w:val="none"/>
              </w:rPr>
            </w:pPr>
            <w:r>
              <w:rPr>
                <w:color w:val="000000"/>
                <w:sz w:val="21"/>
                <w:szCs w:val="21"/>
                <w:highlight w:val="none"/>
              </w:rPr>
              <w:t>不符合招标文件要求</w:t>
            </w:r>
          </w:p>
        </w:tc>
      </w:tr>
      <w:tr w14:paraId="072319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961" w:type="dxa"/>
            <w:vMerge w:val="restart"/>
            <w:noWrap w:val="0"/>
            <w:vAlign w:val="center"/>
          </w:tcPr>
          <w:p w14:paraId="42118D09">
            <w:pPr>
              <w:rPr>
                <w:rFonts w:hint="eastAsia"/>
                <w:color w:val="000000"/>
                <w:sz w:val="21"/>
                <w:szCs w:val="21"/>
                <w:highlight w:val="none"/>
              </w:rPr>
            </w:pPr>
            <w:r>
              <w:rPr>
                <w:color w:val="000000"/>
                <w:sz w:val="21"/>
                <w:szCs w:val="21"/>
                <w:highlight w:val="none"/>
              </w:rPr>
              <w:t>符合性审查</w:t>
            </w:r>
          </w:p>
        </w:tc>
        <w:tc>
          <w:tcPr>
            <w:tcW w:w="3232" w:type="dxa"/>
            <w:noWrap w:val="0"/>
            <w:vAlign w:val="center"/>
          </w:tcPr>
          <w:p w14:paraId="3529DDB5">
            <w:pPr>
              <w:rPr>
                <w:rFonts w:hint="eastAsia"/>
                <w:color w:val="000000"/>
                <w:sz w:val="21"/>
                <w:szCs w:val="21"/>
                <w:highlight w:val="none"/>
              </w:rPr>
            </w:pPr>
            <w:r>
              <w:rPr>
                <w:rFonts w:hint="eastAsia"/>
                <w:color w:val="000000"/>
                <w:sz w:val="21"/>
                <w:szCs w:val="21"/>
                <w:highlight w:val="none"/>
              </w:rPr>
              <w:t>投标人</w:t>
            </w:r>
            <w:r>
              <w:rPr>
                <w:color w:val="000000"/>
                <w:sz w:val="21"/>
                <w:szCs w:val="21"/>
                <w:highlight w:val="none"/>
              </w:rPr>
              <w:t>名称</w:t>
            </w:r>
          </w:p>
        </w:tc>
        <w:tc>
          <w:tcPr>
            <w:tcW w:w="4635" w:type="dxa"/>
            <w:noWrap w:val="0"/>
            <w:vAlign w:val="center"/>
          </w:tcPr>
          <w:p w14:paraId="16280700">
            <w:pPr>
              <w:rPr>
                <w:rFonts w:hint="eastAsia"/>
                <w:color w:val="000000"/>
                <w:sz w:val="21"/>
                <w:szCs w:val="21"/>
                <w:highlight w:val="none"/>
              </w:rPr>
            </w:pPr>
            <w:r>
              <w:rPr>
                <w:color w:val="000000"/>
                <w:sz w:val="21"/>
                <w:szCs w:val="21"/>
                <w:highlight w:val="none"/>
              </w:rPr>
              <w:t>与营业执照、资质证书等不一致</w:t>
            </w:r>
          </w:p>
        </w:tc>
      </w:tr>
      <w:tr w14:paraId="3A161D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961" w:type="dxa"/>
            <w:vMerge w:val="continue"/>
            <w:noWrap w:val="0"/>
            <w:vAlign w:val="center"/>
          </w:tcPr>
          <w:p w14:paraId="325F8392">
            <w:pPr>
              <w:rPr>
                <w:rFonts w:hint="eastAsia"/>
                <w:color w:val="000000"/>
                <w:sz w:val="21"/>
                <w:szCs w:val="21"/>
                <w:highlight w:val="none"/>
              </w:rPr>
            </w:pPr>
          </w:p>
        </w:tc>
        <w:tc>
          <w:tcPr>
            <w:tcW w:w="3232" w:type="dxa"/>
            <w:noWrap w:val="0"/>
            <w:vAlign w:val="center"/>
          </w:tcPr>
          <w:p w14:paraId="4D70AAAD">
            <w:pPr>
              <w:rPr>
                <w:rFonts w:hint="eastAsia"/>
                <w:color w:val="000000"/>
                <w:sz w:val="21"/>
                <w:szCs w:val="21"/>
                <w:highlight w:val="none"/>
              </w:rPr>
            </w:pPr>
            <w:r>
              <w:rPr>
                <w:color w:val="000000"/>
                <w:sz w:val="21"/>
                <w:szCs w:val="21"/>
                <w:highlight w:val="none"/>
              </w:rPr>
              <w:t>法定代表人或授权委托人资格</w:t>
            </w:r>
          </w:p>
        </w:tc>
        <w:tc>
          <w:tcPr>
            <w:tcW w:w="4635" w:type="dxa"/>
            <w:noWrap w:val="0"/>
            <w:vAlign w:val="center"/>
          </w:tcPr>
          <w:p w14:paraId="219FD034">
            <w:pPr>
              <w:rPr>
                <w:rFonts w:hint="eastAsia"/>
                <w:color w:val="000000"/>
                <w:sz w:val="21"/>
                <w:szCs w:val="21"/>
                <w:highlight w:val="none"/>
              </w:rPr>
            </w:pPr>
            <w:r>
              <w:rPr>
                <w:color w:val="000000"/>
                <w:sz w:val="21"/>
                <w:szCs w:val="21"/>
                <w:highlight w:val="none"/>
              </w:rPr>
              <w:t>不符合招标文件要求</w:t>
            </w:r>
          </w:p>
        </w:tc>
      </w:tr>
      <w:tr w14:paraId="6F1A67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961" w:type="dxa"/>
            <w:vMerge w:val="continue"/>
            <w:noWrap w:val="0"/>
            <w:vAlign w:val="center"/>
          </w:tcPr>
          <w:p w14:paraId="6A972AB0">
            <w:pPr>
              <w:rPr>
                <w:rFonts w:hint="eastAsia"/>
                <w:color w:val="000000"/>
                <w:sz w:val="21"/>
                <w:szCs w:val="21"/>
                <w:highlight w:val="none"/>
              </w:rPr>
            </w:pPr>
          </w:p>
        </w:tc>
        <w:tc>
          <w:tcPr>
            <w:tcW w:w="3232" w:type="dxa"/>
            <w:noWrap w:val="0"/>
            <w:vAlign w:val="center"/>
          </w:tcPr>
          <w:p w14:paraId="1075FD0C">
            <w:pPr>
              <w:rPr>
                <w:rFonts w:hint="eastAsia"/>
                <w:color w:val="000000"/>
                <w:sz w:val="21"/>
                <w:szCs w:val="21"/>
                <w:highlight w:val="none"/>
              </w:rPr>
            </w:pPr>
            <w:r>
              <w:rPr>
                <w:color w:val="000000"/>
                <w:sz w:val="21"/>
                <w:szCs w:val="21"/>
                <w:highlight w:val="none"/>
              </w:rPr>
              <w:t>投标文件盖章</w:t>
            </w:r>
          </w:p>
        </w:tc>
        <w:tc>
          <w:tcPr>
            <w:tcW w:w="4635" w:type="dxa"/>
            <w:noWrap w:val="0"/>
            <w:vAlign w:val="center"/>
          </w:tcPr>
          <w:p w14:paraId="67653D98">
            <w:pPr>
              <w:rPr>
                <w:rFonts w:hint="eastAsia"/>
                <w:color w:val="000000"/>
                <w:sz w:val="21"/>
                <w:szCs w:val="21"/>
                <w:highlight w:val="none"/>
              </w:rPr>
            </w:pPr>
            <w:r>
              <w:rPr>
                <w:color w:val="000000"/>
                <w:sz w:val="21"/>
                <w:szCs w:val="21"/>
                <w:highlight w:val="none"/>
              </w:rPr>
              <w:t>未按招标文件要求加盖公章</w:t>
            </w:r>
          </w:p>
        </w:tc>
      </w:tr>
      <w:tr w14:paraId="3B5136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961" w:type="dxa"/>
            <w:vMerge w:val="continue"/>
            <w:noWrap w:val="0"/>
            <w:vAlign w:val="center"/>
          </w:tcPr>
          <w:p w14:paraId="0AC28B89">
            <w:pPr>
              <w:rPr>
                <w:rFonts w:hint="eastAsia"/>
                <w:color w:val="000000"/>
                <w:sz w:val="21"/>
                <w:szCs w:val="21"/>
                <w:highlight w:val="none"/>
              </w:rPr>
            </w:pPr>
          </w:p>
        </w:tc>
        <w:tc>
          <w:tcPr>
            <w:tcW w:w="3232" w:type="dxa"/>
            <w:noWrap w:val="0"/>
            <w:vAlign w:val="center"/>
          </w:tcPr>
          <w:p w14:paraId="0FC25749">
            <w:pPr>
              <w:rPr>
                <w:rFonts w:hint="eastAsia"/>
                <w:color w:val="000000"/>
                <w:sz w:val="21"/>
                <w:szCs w:val="21"/>
                <w:highlight w:val="none"/>
              </w:rPr>
            </w:pPr>
            <w:r>
              <w:rPr>
                <w:color w:val="000000"/>
                <w:sz w:val="21"/>
                <w:szCs w:val="21"/>
                <w:highlight w:val="none"/>
              </w:rPr>
              <w:t>投标文件签署</w:t>
            </w:r>
          </w:p>
        </w:tc>
        <w:tc>
          <w:tcPr>
            <w:tcW w:w="4635" w:type="dxa"/>
            <w:noWrap w:val="0"/>
            <w:vAlign w:val="center"/>
          </w:tcPr>
          <w:p w14:paraId="63547CC9">
            <w:pPr>
              <w:rPr>
                <w:rFonts w:hint="eastAsia"/>
                <w:color w:val="000000"/>
                <w:sz w:val="21"/>
                <w:szCs w:val="21"/>
                <w:highlight w:val="none"/>
              </w:rPr>
            </w:pPr>
            <w:r>
              <w:rPr>
                <w:color w:val="000000"/>
                <w:sz w:val="21"/>
                <w:szCs w:val="21"/>
                <w:highlight w:val="none"/>
              </w:rPr>
              <w:t>未按招标文件要求进行签字（签章）</w:t>
            </w:r>
          </w:p>
        </w:tc>
      </w:tr>
      <w:tr w14:paraId="530720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961" w:type="dxa"/>
            <w:vMerge w:val="continue"/>
            <w:noWrap w:val="0"/>
            <w:vAlign w:val="center"/>
          </w:tcPr>
          <w:p w14:paraId="18620A80">
            <w:pPr>
              <w:rPr>
                <w:rFonts w:hint="eastAsia"/>
                <w:color w:val="000000"/>
                <w:sz w:val="21"/>
                <w:szCs w:val="21"/>
                <w:highlight w:val="none"/>
              </w:rPr>
            </w:pPr>
          </w:p>
        </w:tc>
        <w:tc>
          <w:tcPr>
            <w:tcW w:w="3232" w:type="dxa"/>
            <w:noWrap w:val="0"/>
            <w:vAlign w:val="center"/>
          </w:tcPr>
          <w:p w14:paraId="152A3B82">
            <w:pPr>
              <w:rPr>
                <w:rFonts w:hint="eastAsia"/>
                <w:color w:val="000000"/>
                <w:sz w:val="21"/>
                <w:szCs w:val="21"/>
                <w:highlight w:val="none"/>
              </w:rPr>
            </w:pPr>
            <w:r>
              <w:rPr>
                <w:color w:val="000000"/>
                <w:sz w:val="21"/>
                <w:szCs w:val="21"/>
                <w:highlight w:val="none"/>
              </w:rPr>
              <w:t>投标文件格式</w:t>
            </w:r>
          </w:p>
        </w:tc>
        <w:tc>
          <w:tcPr>
            <w:tcW w:w="4635" w:type="dxa"/>
            <w:noWrap w:val="0"/>
            <w:vAlign w:val="center"/>
          </w:tcPr>
          <w:p w14:paraId="60489858">
            <w:pPr>
              <w:rPr>
                <w:rFonts w:hint="eastAsia"/>
                <w:color w:val="000000"/>
                <w:sz w:val="21"/>
                <w:szCs w:val="21"/>
                <w:highlight w:val="none"/>
              </w:rPr>
            </w:pPr>
            <w:r>
              <w:rPr>
                <w:color w:val="000000"/>
                <w:sz w:val="21"/>
                <w:szCs w:val="21"/>
                <w:highlight w:val="none"/>
              </w:rPr>
              <w:t>未按规定格式填写，实质性内容不全或关键字迹模糊、无法辨认</w:t>
            </w:r>
          </w:p>
        </w:tc>
      </w:tr>
      <w:tr w14:paraId="4CD70E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961" w:type="dxa"/>
            <w:vMerge w:val="continue"/>
            <w:noWrap w:val="0"/>
            <w:vAlign w:val="center"/>
          </w:tcPr>
          <w:p w14:paraId="3CE606C1">
            <w:pPr>
              <w:rPr>
                <w:rFonts w:hint="eastAsia"/>
                <w:color w:val="000000"/>
                <w:sz w:val="21"/>
                <w:szCs w:val="21"/>
                <w:highlight w:val="none"/>
              </w:rPr>
            </w:pPr>
          </w:p>
        </w:tc>
        <w:tc>
          <w:tcPr>
            <w:tcW w:w="3232" w:type="dxa"/>
            <w:noWrap w:val="0"/>
            <w:vAlign w:val="center"/>
          </w:tcPr>
          <w:p w14:paraId="3276D9A9">
            <w:pPr>
              <w:rPr>
                <w:rFonts w:hint="eastAsia"/>
                <w:color w:val="000000"/>
                <w:sz w:val="21"/>
                <w:szCs w:val="21"/>
                <w:highlight w:val="none"/>
              </w:rPr>
            </w:pPr>
            <w:r>
              <w:rPr>
                <w:color w:val="000000"/>
                <w:sz w:val="21"/>
                <w:szCs w:val="21"/>
                <w:highlight w:val="none"/>
              </w:rPr>
              <w:t>投标方案及报价</w:t>
            </w:r>
          </w:p>
        </w:tc>
        <w:tc>
          <w:tcPr>
            <w:tcW w:w="4635" w:type="dxa"/>
            <w:noWrap w:val="0"/>
            <w:vAlign w:val="center"/>
          </w:tcPr>
          <w:p w14:paraId="75AC24A6">
            <w:pPr>
              <w:rPr>
                <w:rFonts w:hint="eastAsia"/>
                <w:color w:val="000000"/>
                <w:sz w:val="21"/>
                <w:szCs w:val="21"/>
                <w:highlight w:val="none"/>
              </w:rPr>
            </w:pPr>
            <w:r>
              <w:rPr>
                <w:color w:val="000000"/>
                <w:sz w:val="21"/>
                <w:szCs w:val="21"/>
                <w:highlight w:val="none"/>
              </w:rPr>
              <w:t>报价超过招标文件中规定的预算金额或者最高限价</w:t>
            </w:r>
          </w:p>
        </w:tc>
      </w:tr>
      <w:tr w14:paraId="34DC8D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961" w:type="dxa"/>
            <w:vMerge w:val="continue"/>
            <w:noWrap w:val="0"/>
            <w:vAlign w:val="center"/>
          </w:tcPr>
          <w:p w14:paraId="698A7BBB">
            <w:pPr>
              <w:rPr>
                <w:rFonts w:hint="eastAsia"/>
                <w:color w:val="000000"/>
                <w:sz w:val="21"/>
                <w:szCs w:val="21"/>
                <w:highlight w:val="none"/>
              </w:rPr>
            </w:pPr>
          </w:p>
        </w:tc>
        <w:tc>
          <w:tcPr>
            <w:tcW w:w="3232" w:type="dxa"/>
            <w:noWrap w:val="0"/>
            <w:vAlign w:val="center"/>
          </w:tcPr>
          <w:p w14:paraId="63C600BD">
            <w:pPr>
              <w:rPr>
                <w:rFonts w:hint="eastAsia"/>
                <w:color w:val="000000"/>
                <w:sz w:val="21"/>
                <w:szCs w:val="21"/>
                <w:highlight w:val="none"/>
              </w:rPr>
            </w:pPr>
            <w:r>
              <w:rPr>
                <w:color w:val="000000"/>
                <w:sz w:val="21"/>
                <w:szCs w:val="21"/>
                <w:highlight w:val="none"/>
              </w:rPr>
              <w:t>投标有效期</w:t>
            </w:r>
          </w:p>
        </w:tc>
        <w:tc>
          <w:tcPr>
            <w:tcW w:w="4635" w:type="dxa"/>
            <w:noWrap w:val="0"/>
            <w:vAlign w:val="center"/>
          </w:tcPr>
          <w:p w14:paraId="6872F9E7">
            <w:pPr>
              <w:rPr>
                <w:rFonts w:hint="eastAsia"/>
                <w:color w:val="000000"/>
                <w:sz w:val="21"/>
                <w:szCs w:val="21"/>
                <w:highlight w:val="none"/>
              </w:rPr>
            </w:pPr>
            <w:r>
              <w:rPr>
                <w:color w:val="000000"/>
                <w:sz w:val="21"/>
                <w:szCs w:val="21"/>
                <w:highlight w:val="none"/>
              </w:rPr>
              <w:t>不符合招标文件的要求</w:t>
            </w:r>
          </w:p>
        </w:tc>
      </w:tr>
      <w:tr w14:paraId="28B551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961" w:type="dxa"/>
            <w:vMerge w:val="continue"/>
            <w:noWrap w:val="0"/>
            <w:vAlign w:val="center"/>
          </w:tcPr>
          <w:p w14:paraId="00713C98">
            <w:pPr>
              <w:rPr>
                <w:rFonts w:hint="eastAsia"/>
                <w:color w:val="000000"/>
                <w:sz w:val="21"/>
                <w:szCs w:val="21"/>
                <w:highlight w:val="none"/>
              </w:rPr>
            </w:pPr>
          </w:p>
        </w:tc>
        <w:tc>
          <w:tcPr>
            <w:tcW w:w="3232" w:type="dxa"/>
            <w:noWrap w:val="0"/>
            <w:vAlign w:val="center"/>
          </w:tcPr>
          <w:p w14:paraId="3E9EC2D2">
            <w:pPr>
              <w:rPr>
                <w:rFonts w:hint="eastAsia"/>
                <w:color w:val="000000"/>
                <w:sz w:val="21"/>
                <w:szCs w:val="21"/>
                <w:highlight w:val="none"/>
              </w:rPr>
            </w:pPr>
            <w:r>
              <w:rPr>
                <w:color w:val="000000"/>
                <w:sz w:val="21"/>
                <w:szCs w:val="21"/>
                <w:highlight w:val="none"/>
              </w:rPr>
              <w:t>交货</w:t>
            </w:r>
            <w:r>
              <w:rPr>
                <w:rFonts w:hint="eastAsia"/>
                <w:color w:val="000000"/>
                <w:sz w:val="21"/>
                <w:szCs w:val="21"/>
                <w:highlight w:val="none"/>
                <w:lang w:val="en-US"/>
              </w:rPr>
              <w:t>期、</w:t>
            </w:r>
            <w:r>
              <w:rPr>
                <w:color w:val="000000"/>
                <w:sz w:val="21"/>
                <w:szCs w:val="21"/>
                <w:highlight w:val="none"/>
              </w:rPr>
              <w:t>地点、付款方式</w:t>
            </w:r>
          </w:p>
        </w:tc>
        <w:tc>
          <w:tcPr>
            <w:tcW w:w="4635" w:type="dxa"/>
            <w:noWrap w:val="0"/>
            <w:vAlign w:val="center"/>
          </w:tcPr>
          <w:p w14:paraId="6FFBACC3">
            <w:pPr>
              <w:rPr>
                <w:rFonts w:hint="eastAsia"/>
                <w:color w:val="000000"/>
                <w:sz w:val="21"/>
                <w:szCs w:val="21"/>
                <w:highlight w:val="none"/>
              </w:rPr>
            </w:pPr>
            <w:r>
              <w:rPr>
                <w:color w:val="000000"/>
                <w:sz w:val="21"/>
                <w:szCs w:val="21"/>
                <w:highlight w:val="none"/>
              </w:rPr>
              <w:t>不符合招标文件的要求</w:t>
            </w:r>
          </w:p>
        </w:tc>
      </w:tr>
      <w:tr w14:paraId="15C0C0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961" w:type="dxa"/>
            <w:vMerge w:val="continue"/>
            <w:noWrap w:val="0"/>
            <w:vAlign w:val="center"/>
          </w:tcPr>
          <w:p w14:paraId="4A7FCDC2">
            <w:pPr>
              <w:rPr>
                <w:rFonts w:hint="eastAsia"/>
                <w:color w:val="000000"/>
                <w:sz w:val="21"/>
                <w:szCs w:val="21"/>
                <w:highlight w:val="none"/>
              </w:rPr>
            </w:pPr>
          </w:p>
        </w:tc>
        <w:tc>
          <w:tcPr>
            <w:tcW w:w="3232" w:type="dxa"/>
            <w:noWrap w:val="0"/>
            <w:vAlign w:val="center"/>
          </w:tcPr>
          <w:p w14:paraId="0058506C">
            <w:pPr>
              <w:rPr>
                <w:rFonts w:hint="eastAsia"/>
                <w:color w:val="000000"/>
                <w:sz w:val="21"/>
                <w:szCs w:val="21"/>
                <w:highlight w:val="none"/>
              </w:rPr>
            </w:pPr>
            <w:r>
              <w:rPr>
                <w:rFonts w:hint="eastAsia"/>
                <w:color w:val="000000"/>
                <w:sz w:val="21"/>
                <w:szCs w:val="21"/>
                <w:highlight w:val="none"/>
                <w:lang w:val="en-US"/>
              </w:rPr>
              <w:t>投标保证金</w:t>
            </w:r>
          </w:p>
        </w:tc>
        <w:tc>
          <w:tcPr>
            <w:tcW w:w="4635" w:type="dxa"/>
            <w:noWrap w:val="0"/>
            <w:vAlign w:val="center"/>
          </w:tcPr>
          <w:p w14:paraId="75FDD19F">
            <w:pPr>
              <w:rPr>
                <w:rFonts w:hint="eastAsia"/>
                <w:color w:val="000000"/>
                <w:sz w:val="21"/>
                <w:szCs w:val="21"/>
                <w:highlight w:val="none"/>
              </w:rPr>
            </w:pPr>
            <w:r>
              <w:rPr>
                <w:color w:val="000000"/>
                <w:sz w:val="21"/>
                <w:szCs w:val="21"/>
                <w:highlight w:val="none"/>
              </w:rPr>
              <w:t>不符合招标文件要求</w:t>
            </w:r>
          </w:p>
        </w:tc>
      </w:tr>
      <w:tr w14:paraId="54EC2A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58" w:hRule="atLeast"/>
        </w:trPr>
        <w:tc>
          <w:tcPr>
            <w:tcW w:w="961" w:type="dxa"/>
            <w:vMerge w:val="continue"/>
            <w:noWrap w:val="0"/>
            <w:vAlign w:val="center"/>
          </w:tcPr>
          <w:p w14:paraId="1028849C">
            <w:pPr>
              <w:rPr>
                <w:rFonts w:hint="eastAsia"/>
                <w:color w:val="000000"/>
                <w:sz w:val="21"/>
                <w:szCs w:val="21"/>
                <w:highlight w:val="none"/>
              </w:rPr>
            </w:pPr>
          </w:p>
        </w:tc>
        <w:tc>
          <w:tcPr>
            <w:tcW w:w="3232" w:type="dxa"/>
            <w:noWrap w:val="0"/>
            <w:vAlign w:val="center"/>
          </w:tcPr>
          <w:p w14:paraId="262AC7F9">
            <w:pPr>
              <w:rPr>
                <w:rFonts w:hint="eastAsia"/>
                <w:color w:val="000000"/>
                <w:sz w:val="21"/>
                <w:szCs w:val="21"/>
                <w:highlight w:val="none"/>
              </w:rPr>
            </w:pPr>
            <w:r>
              <w:rPr>
                <w:rFonts w:hint="eastAsia"/>
                <w:color w:val="000000"/>
                <w:sz w:val="21"/>
                <w:szCs w:val="21"/>
                <w:highlight w:val="none"/>
              </w:rPr>
              <w:t>投标文件创建标识码</w:t>
            </w:r>
          </w:p>
        </w:tc>
        <w:tc>
          <w:tcPr>
            <w:tcW w:w="4635" w:type="dxa"/>
            <w:noWrap w:val="0"/>
            <w:vAlign w:val="center"/>
          </w:tcPr>
          <w:p w14:paraId="6F512AAD">
            <w:pPr>
              <w:rPr>
                <w:rFonts w:hint="eastAsia"/>
                <w:color w:val="000000"/>
                <w:sz w:val="21"/>
                <w:szCs w:val="21"/>
                <w:highlight w:val="none"/>
              </w:rPr>
            </w:pPr>
            <w:r>
              <w:rPr>
                <w:rFonts w:hint="eastAsia"/>
                <w:color w:val="000000"/>
                <w:sz w:val="21"/>
                <w:szCs w:val="21"/>
                <w:highlight w:val="none"/>
              </w:rPr>
              <w:t>不同投标人投标文件创建标识码相同的</w:t>
            </w:r>
          </w:p>
        </w:tc>
      </w:tr>
      <w:tr w14:paraId="2D13BD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961" w:type="dxa"/>
            <w:vMerge w:val="continue"/>
            <w:noWrap w:val="0"/>
            <w:vAlign w:val="center"/>
          </w:tcPr>
          <w:p w14:paraId="0AE998BF">
            <w:pPr>
              <w:rPr>
                <w:rFonts w:hint="eastAsia"/>
                <w:color w:val="000000"/>
                <w:sz w:val="21"/>
                <w:szCs w:val="21"/>
                <w:highlight w:val="none"/>
              </w:rPr>
            </w:pPr>
          </w:p>
        </w:tc>
        <w:tc>
          <w:tcPr>
            <w:tcW w:w="3232" w:type="dxa"/>
            <w:noWrap w:val="0"/>
            <w:vAlign w:val="center"/>
          </w:tcPr>
          <w:p w14:paraId="3014E5A9">
            <w:pPr>
              <w:rPr>
                <w:rFonts w:hint="eastAsia"/>
                <w:color w:val="000000"/>
                <w:sz w:val="21"/>
                <w:szCs w:val="21"/>
                <w:highlight w:val="none"/>
              </w:rPr>
            </w:pPr>
            <w:r>
              <w:rPr>
                <w:rFonts w:hint="eastAsia"/>
                <w:color w:val="000000"/>
                <w:sz w:val="21"/>
                <w:szCs w:val="21"/>
                <w:highlight w:val="none"/>
              </w:rPr>
              <w:t>投标文件的机器识别码</w:t>
            </w:r>
          </w:p>
        </w:tc>
        <w:tc>
          <w:tcPr>
            <w:tcW w:w="4635" w:type="dxa"/>
            <w:noWrap w:val="0"/>
            <w:vAlign w:val="center"/>
          </w:tcPr>
          <w:p w14:paraId="6F9F44B7">
            <w:pPr>
              <w:rPr>
                <w:rFonts w:hint="eastAsia"/>
                <w:color w:val="000000"/>
                <w:sz w:val="21"/>
                <w:szCs w:val="21"/>
                <w:highlight w:val="none"/>
              </w:rPr>
            </w:pPr>
            <w:r>
              <w:rPr>
                <w:rFonts w:hint="eastAsia"/>
                <w:color w:val="000000"/>
                <w:sz w:val="21"/>
                <w:szCs w:val="21"/>
                <w:highlight w:val="none"/>
              </w:rPr>
              <w:t>不同投标人的机器识别码相同</w:t>
            </w:r>
          </w:p>
        </w:tc>
      </w:tr>
      <w:tr w14:paraId="35EF7A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961" w:type="dxa"/>
            <w:vMerge w:val="continue"/>
            <w:noWrap w:val="0"/>
            <w:vAlign w:val="center"/>
          </w:tcPr>
          <w:p w14:paraId="5333F74E">
            <w:pPr>
              <w:rPr>
                <w:rFonts w:hint="eastAsia"/>
                <w:color w:val="000000"/>
                <w:sz w:val="21"/>
                <w:szCs w:val="21"/>
                <w:highlight w:val="none"/>
              </w:rPr>
            </w:pPr>
          </w:p>
        </w:tc>
        <w:tc>
          <w:tcPr>
            <w:tcW w:w="3232" w:type="dxa"/>
            <w:noWrap w:val="0"/>
            <w:vAlign w:val="center"/>
          </w:tcPr>
          <w:p w14:paraId="3A4F8637">
            <w:pPr>
              <w:rPr>
                <w:rFonts w:hint="eastAsia"/>
                <w:color w:val="000000"/>
                <w:sz w:val="21"/>
                <w:szCs w:val="21"/>
                <w:highlight w:val="none"/>
              </w:rPr>
            </w:pPr>
            <w:r>
              <w:rPr>
                <w:rFonts w:hint="eastAsia"/>
                <w:color w:val="000000"/>
                <w:sz w:val="21"/>
                <w:szCs w:val="21"/>
                <w:highlight w:val="none"/>
              </w:rPr>
              <w:t>实质性要求</w:t>
            </w:r>
          </w:p>
        </w:tc>
        <w:tc>
          <w:tcPr>
            <w:tcW w:w="4635" w:type="dxa"/>
            <w:noWrap w:val="0"/>
            <w:vAlign w:val="center"/>
          </w:tcPr>
          <w:p w14:paraId="2386D06E">
            <w:pPr>
              <w:rPr>
                <w:rFonts w:hint="eastAsia"/>
                <w:color w:val="000000"/>
                <w:sz w:val="21"/>
                <w:szCs w:val="21"/>
                <w:highlight w:val="none"/>
              </w:rPr>
            </w:pPr>
            <w:r>
              <w:rPr>
                <w:rFonts w:hint="eastAsia"/>
                <w:color w:val="000000"/>
                <w:sz w:val="21"/>
                <w:szCs w:val="21"/>
                <w:highlight w:val="none"/>
                <w:lang w:val="en-US"/>
              </w:rPr>
              <w:t>招标文件</w:t>
            </w:r>
            <w:r>
              <w:rPr>
                <w:rFonts w:hint="eastAsia"/>
                <w:color w:val="000000"/>
                <w:sz w:val="21"/>
                <w:szCs w:val="21"/>
                <w:highlight w:val="none"/>
              </w:rPr>
              <w:t>实质性要求有</w:t>
            </w:r>
            <w:r>
              <w:rPr>
                <w:rFonts w:hint="eastAsia"/>
                <w:color w:val="000000"/>
                <w:sz w:val="21"/>
                <w:szCs w:val="21"/>
                <w:highlight w:val="none"/>
                <w:lang w:val="en-US"/>
              </w:rPr>
              <w:t>负</w:t>
            </w:r>
            <w:r>
              <w:rPr>
                <w:rFonts w:hint="eastAsia"/>
                <w:color w:val="000000"/>
                <w:sz w:val="21"/>
                <w:szCs w:val="21"/>
                <w:highlight w:val="none"/>
              </w:rPr>
              <w:t>偏离</w:t>
            </w:r>
            <w:r>
              <w:rPr>
                <w:rFonts w:hint="eastAsia"/>
                <w:color w:val="000000"/>
                <w:sz w:val="21"/>
                <w:szCs w:val="21"/>
                <w:highlight w:val="none"/>
                <w:lang w:val="en-US"/>
              </w:rPr>
              <w:t>或未提供</w:t>
            </w:r>
            <w:r>
              <w:rPr>
                <w:rFonts w:hint="eastAsia"/>
                <w:color w:val="000000"/>
                <w:sz w:val="21"/>
                <w:szCs w:val="21"/>
                <w:highlight w:val="none"/>
              </w:rPr>
              <w:t>实质性要求</w:t>
            </w:r>
            <w:r>
              <w:rPr>
                <w:rFonts w:hint="eastAsia"/>
                <w:color w:val="000000"/>
                <w:sz w:val="21"/>
                <w:szCs w:val="21"/>
                <w:highlight w:val="none"/>
                <w:lang w:val="en-US"/>
              </w:rPr>
              <w:t>证明材料的。</w:t>
            </w:r>
          </w:p>
        </w:tc>
      </w:tr>
      <w:tr w14:paraId="58DC57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c>
          <w:tcPr>
            <w:tcW w:w="961" w:type="dxa"/>
            <w:vMerge w:val="continue"/>
            <w:noWrap w:val="0"/>
            <w:vAlign w:val="center"/>
          </w:tcPr>
          <w:p w14:paraId="7F6C0784">
            <w:pPr>
              <w:rPr>
                <w:rFonts w:hint="eastAsia"/>
                <w:color w:val="000000"/>
                <w:sz w:val="21"/>
                <w:szCs w:val="21"/>
                <w:highlight w:val="none"/>
              </w:rPr>
            </w:pPr>
          </w:p>
        </w:tc>
        <w:tc>
          <w:tcPr>
            <w:tcW w:w="3232" w:type="dxa"/>
            <w:noWrap w:val="0"/>
            <w:vAlign w:val="center"/>
          </w:tcPr>
          <w:p w14:paraId="7E72B51C">
            <w:pPr>
              <w:rPr>
                <w:rFonts w:hint="eastAsia"/>
                <w:color w:val="000000"/>
                <w:sz w:val="21"/>
                <w:szCs w:val="21"/>
                <w:highlight w:val="none"/>
              </w:rPr>
            </w:pPr>
            <w:r>
              <w:rPr>
                <w:rFonts w:hint="eastAsia"/>
                <w:color w:val="000000"/>
                <w:sz w:val="21"/>
                <w:szCs w:val="21"/>
                <w:highlight w:val="none"/>
                <w:lang w:val="en-US"/>
              </w:rPr>
              <w:t>其他</w:t>
            </w:r>
          </w:p>
        </w:tc>
        <w:tc>
          <w:tcPr>
            <w:tcW w:w="4635" w:type="dxa"/>
            <w:noWrap w:val="0"/>
            <w:vAlign w:val="center"/>
          </w:tcPr>
          <w:p w14:paraId="6008131F">
            <w:pPr>
              <w:rPr>
                <w:rFonts w:hint="eastAsia"/>
                <w:color w:val="000000"/>
                <w:sz w:val="21"/>
                <w:szCs w:val="21"/>
                <w:highlight w:val="none"/>
              </w:rPr>
            </w:pPr>
            <w:r>
              <w:rPr>
                <w:rFonts w:hint="eastAsia"/>
                <w:color w:val="000000"/>
                <w:sz w:val="21"/>
                <w:szCs w:val="21"/>
                <w:highlight w:val="none"/>
              </w:rPr>
              <w:t>不符合法律法规和招标文件中规定的其它</w:t>
            </w:r>
            <w:r>
              <w:rPr>
                <w:rFonts w:hint="eastAsia"/>
                <w:color w:val="000000"/>
                <w:sz w:val="21"/>
                <w:szCs w:val="21"/>
                <w:highlight w:val="none"/>
                <w:lang w:val="en-US"/>
              </w:rPr>
              <w:t>无效投标</w:t>
            </w:r>
            <w:r>
              <w:rPr>
                <w:rFonts w:hint="eastAsia"/>
                <w:color w:val="000000"/>
                <w:sz w:val="21"/>
                <w:szCs w:val="21"/>
                <w:highlight w:val="none"/>
              </w:rPr>
              <w:t>的情形</w:t>
            </w:r>
          </w:p>
        </w:tc>
      </w:tr>
    </w:tbl>
    <w:p w14:paraId="2E6B8120">
      <w:pPr>
        <w:spacing w:line="360" w:lineRule="auto"/>
        <w:ind w:firstLine="420" w:firstLineChars="200"/>
        <w:rPr>
          <w:rFonts w:hint="eastAsia"/>
          <w:color w:val="000000"/>
          <w:sz w:val="21"/>
          <w:szCs w:val="21"/>
          <w:highlight w:val="none"/>
        </w:rPr>
      </w:pPr>
    </w:p>
    <w:p w14:paraId="1B15AFCB">
      <w:pPr>
        <w:spacing w:line="360" w:lineRule="auto"/>
        <w:ind w:firstLine="420" w:firstLineChars="200"/>
        <w:rPr>
          <w:rFonts w:hint="eastAsia"/>
          <w:color w:val="000000"/>
          <w:sz w:val="21"/>
          <w:szCs w:val="21"/>
          <w:highlight w:val="none"/>
        </w:rPr>
      </w:pPr>
      <w:r>
        <w:rPr>
          <w:rFonts w:hint="eastAsia"/>
          <w:color w:val="000000"/>
          <w:sz w:val="21"/>
          <w:szCs w:val="21"/>
          <w:highlight w:val="none"/>
        </w:rPr>
        <w:t>3.2商务标评审内容及标准（</w:t>
      </w:r>
      <w:r>
        <w:rPr>
          <w:rFonts w:hint="eastAsia"/>
          <w:color w:val="000000"/>
          <w:sz w:val="21"/>
          <w:szCs w:val="21"/>
          <w:highlight w:val="none"/>
          <w:lang w:val="en-US"/>
        </w:rPr>
        <w:t>3</w:t>
      </w:r>
      <w:r>
        <w:rPr>
          <w:rFonts w:hint="eastAsia"/>
          <w:color w:val="000000"/>
          <w:sz w:val="21"/>
          <w:szCs w:val="21"/>
          <w:highlight w:val="none"/>
          <w:lang w:val="en-US" w:eastAsia="zh-CN"/>
        </w:rPr>
        <w:t>7</w:t>
      </w:r>
      <w:r>
        <w:rPr>
          <w:rFonts w:hint="eastAsia"/>
          <w:color w:val="000000"/>
          <w:sz w:val="21"/>
          <w:szCs w:val="21"/>
          <w:highlight w:val="none"/>
        </w:rPr>
        <w:t>分）</w:t>
      </w:r>
    </w:p>
    <w:tbl>
      <w:tblPr>
        <w:tblStyle w:val="9"/>
        <w:tblW w:w="8738" w:type="dxa"/>
        <w:tblInd w:w="-8" w:type="dxa"/>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Layout w:type="fixed"/>
        <w:tblCellMar>
          <w:top w:w="0" w:type="dxa"/>
          <w:left w:w="0" w:type="dxa"/>
          <w:bottom w:w="0" w:type="dxa"/>
          <w:right w:w="0" w:type="dxa"/>
        </w:tblCellMar>
      </w:tblPr>
      <w:tblGrid>
        <w:gridCol w:w="1703"/>
        <w:gridCol w:w="1005"/>
        <w:gridCol w:w="6030"/>
      </w:tblGrid>
      <w:tr w14:paraId="2DCEC158">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c>
          <w:tcPr>
            <w:tcW w:w="1703" w:type="dxa"/>
            <w:tcBorders>
              <w:top w:val="outset" w:color="auto" w:sz="6" w:space="0"/>
              <w:left w:val="outset" w:color="auto" w:sz="6" w:space="0"/>
              <w:bottom w:val="outset" w:color="auto" w:sz="6" w:space="0"/>
              <w:right w:val="outset" w:color="auto" w:sz="6" w:space="0"/>
            </w:tcBorders>
            <w:noWrap w:val="0"/>
            <w:vAlign w:val="center"/>
          </w:tcPr>
          <w:p w14:paraId="7B492796">
            <w:pPr>
              <w:jc w:val="center"/>
              <w:rPr>
                <w:rFonts w:hint="eastAsia"/>
                <w:color w:val="000000"/>
                <w:sz w:val="21"/>
                <w:szCs w:val="21"/>
                <w:highlight w:val="none"/>
              </w:rPr>
            </w:pPr>
            <w:r>
              <w:rPr>
                <w:rFonts w:hint="eastAsia"/>
                <w:color w:val="000000"/>
                <w:sz w:val="21"/>
                <w:szCs w:val="21"/>
                <w:highlight w:val="none"/>
              </w:rPr>
              <w:t>评审项目</w:t>
            </w:r>
          </w:p>
        </w:tc>
        <w:tc>
          <w:tcPr>
            <w:tcW w:w="1005" w:type="dxa"/>
            <w:tcBorders>
              <w:top w:val="outset" w:color="auto" w:sz="6" w:space="0"/>
              <w:left w:val="outset" w:color="auto" w:sz="6" w:space="0"/>
              <w:bottom w:val="outset" w:color="auto" w:sz="6" w:space="0"/>
              <w:right w:val="outset" w:color="auto" w:sz="6" w:space="0"/>
            </w:tcBorders>
            <w:noWrap w:val="0"/>
            <w:vAlign w:val="center"/>
          </w:tcPr>
          <w:p w14:paraId="26681553">
            <w:pPr>
              <w:jc w:val="center"/>
              <w:rPr>
                <w:rFonts w:hint="eastAsia"/>
                <w:color w:val="000000"/>
                <w:sz w:val="21"/>
                <w:szCs w:val="21"/>
                <w:highlight w:val="none"/>
              </w:rPr>
            </w:pPr>
            <w:r>
              <w:rPr>
                <w:rFonts w:hint="eastAsia"/>
                <w:color w:val="000000"/>
                <w:sz w:val="21"/>
                <w:szCs w:val="21"/>
                <w:highlight w:val="none"/>
              </w:rPr>
              <w:t>分值</w:t>
            </w:r>
          </w:p>
        </w:tc>
        <w:tc>
          <w:tcPr>
            <w:tcW w:w="6030" w:type="dxa"/>
            <w:tcBorders>
              <w:top w:val="outset" w:color="auto" w:sz="6" w:space="0"/>
              <w:left w:val="outset" w:color="auto" w:sz="6" w:space="0"/>
              <w:bottom w:val="outset" w:color="auto" w:sz="6" w:space="0"/>
              <w:right w:val="outset" w:color="auto" w:sz="6" w:space="0"/>
            </w:tcBorders>
            <w:noWrap w:val="0"/>
            <w:vAlign w:val="center"/>
          </w:tcPr>
          <w:p w14:paraId="53A789ED">
            <w:pPr>
              <w:jc w:val="center"/>
              <w:rPr>
                <w:rFonts w:hint="eastAsia"/>
                <w:color w:val="000000"/>
                <w:sz w:val="21"/>
                <w:szCs w:val="21"/>
                <w:highlight w:val="none"/>
              </w:rPr>
            </w:pPr>
            <w:r>
              <w:rPr>
                <w:rFonts w:hint="eastAsia"/>
                <w:color w:val="000000"/>
                <w:sz w:val="21"/>
                <w:szCs w:val="21"/>
                <w:highlight w:val="none"/>
              </w:rPr>
              <w:t>依据</w:t>
            </w:r>
          </w:p>
        </w:tc>
      </w:tr>
      <w:tr w14:paraId="36E4E566">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c>
          <w:tcPr>
            <w:tcW w:w="1703" w:type="dxa"/>
            <w:tcBorders>
              <w:top w:val="outset" w:color="auto" w:sz="6" w:space="0"/>
              <w:left w:val="outset" w:color="auto" w:sz="6" w:space="0"/>
              <w:bottom w:val="outset" w:color="auto" w:sz="6" w:space="0"/>
              <w:right w:val="outset" w:color="auto" w:sz="6" w:space="0"/>
            </w:tcBorders>
            <w:noWrap w:val="0"/>
            <w:vAlign w:val="center"/>
          </w:tcPr>
          <w:p w14:paraId="3A3C3534">
            <w:pPr>
              <w:jc w:val="center"/>
              <w:rPr>
                <w:rFonts w:hint="eastAsia"/>
                <w:color w:val="000000"/>
                <w:sz w:val="21"/>
                <w:szCs w:val="21"/>
                <w:highlight w:val="none"/>
              </w:rPr>
            </w:pPr>
            <w:r>
              <w:rPr>
                <w:rFonts w:cs="Arial"/>
                <w:sz w:val="21"/>
                <w:szCs w:val="21"/>
                <w:highlight w:val="none"/>
              </w:rPr>
              <w:t>价格分</w:t>
            </w:r>
          </w:p>
        </w:tc>
        <w:tc>
          <w:tcPr>
            <w:tcW w:w="1005" w:type="dxa"/>
            <w:tcBorders>
              <w:top w:val="outset" w:color="auto" w:sz="6" w:space="0"/>
              <w:left w:val="outset" w:color="auto" w:sz="6" w:space="0"/>
              <w:bottom w:val="outset" w:color="auto" w:sz="6" w:space="0"/>
              <w:right w:val="outset" w:color="auto" w:sz="6" w:space="0"/>
            </w:tcBorders>
            <w:noWrap w:val="0"/>
            <w:vAlign w:val="center"/>
          </w:tcPr>
          <w:p w14:paraId="5F39FB4E">
            <w:pPr>
              <w:jc w:val="center"/>
              <w:rPr>
                <w:rFonts w:hint="eastAsia"/>
                <w:color w:val="000000"/>
                <w:sz w:val="21"/>
                <w:szCs w:val="21"/>
                <w:highlight w:val="none"/>
              </w:rPr>
            </w:pPr>
            <w:r>
              <w:rPr>
                <w:rFonts w:hint="eastAsia"/>
                <w:color w:val="000000"/>
                <w:sz w:val="21"/>
                <w:szCs w:val="21"/>
                <w:highlight w:val="none"/>
                <w:lang w:val="en-US"/>
              </w:rPr>
              <w:t>3</w:t>
            </w:r>
            <w:r>
              <w:rPr>
                <w:rFonts w:hint="eastAsia"/>
                <w:color w:val="000000"/>
                <w:sz w:val="21"/>
                <w:szCs w:val="21"/>
                <w:highlight w:val="none"/>
                <w:lang w:val="en-US" w:eastAsia="zh-CN"/>
              </w:rPr>
              <w:t>1</w:t>
            </w:r>
            <w:r>
              <w:rPr>
                <w:rFonts w:hint="eastAsia"/>
                <w:color w:val="000000"/>
                <w:sz w:val="21"/>
                <w:szCs w:val="21"/>
                <w:highlight w:val="none"/>
              </w:rPr>
              <w:t>分</w:t>
            </w:r>
          </w:p>
        </w:tc>
        <w:tc>
          <w:tcPr>
            <w:tcW w:w="6030" w:type="dxa"/>
            <w:tcBorders>
              <w:top w:val="outset" w:color="auto" w:sz="6" w:space="0"/>
              <w:left w:val="outset" w:color="auto" w:sz="6" w:space="0"/>
              <w:bottom w:val="outset" w:color="auto" w:sz="6" w:space="0"/>
              <w:right w:val="outset" w:color="auto" w:sz="6" w:space="0"/>
            </w:tcBorders>
            <w:noWrap w:val="0"/>
            <w:vAlign w:val="center"/>
          </w:tcPr>
          <w:p w14:paraId="43F18A10">
            <w:pPr>
              <w:rPr>
                <w:color w:val="000000"/>
                <w:sz w:val="21"/>
                <w:szCs w:val="21"/>
                <w:highlight w:val="none"/>
              </w:rPr>
            </w:pPr>
            <w:r>
              <w:rPr>
                <w:rFonts w:hint="eastAsia"/>
                <w:color w:val="000000"/>
                <w:sz w:val="21"/>
                <w:szCs w:val="21"/>
                <w:highlight w:val="none"/>
              </w:rPr>
              <w:t>本项评审步骤：</w:t>
            </w:r>
          </w:p>
          <w:p w14:paraId="0264327B">
            <w:pPr>
              <w:rPr>
                <w:color w:val="000000"/>
                <w:sz w:val="21"/>
                <w:szCs w:val="21"/>
                <w:highlight w:val="none"/>
              </w:rPr>
            </w:pPr>
            <w:r>
              <w:rPr>
                <w:color w:val="000000"/>
                <w:sz w:val="21"/>
                <w:szCs w:val="21"/>
                <w:highlight w:val="none"/>
              </w:rPr>
              <w:t>1.评标价的确认：评标委员会对所有实质性响应招标文件要求的投标报价进行核查、调整，包括根据本招标文件规定进行的价格扣除。</w:t>
            </w:r>
          </w:p>
          <w:p w14:paraId="6D1FE0E4">
            <w:pPr>
              <w:rPr>
                <w:color w:val="000000"/>
                <w:sz w:val="21"/>
                <w:szCs w:val="21"/>
                <w:highlight w:val="none"/>
              </w:rPr>
            </w:pPr>
            <w:r>
              <w:rPr>
                <w:color w:val="000000"/>
                <w:sz w:val="21"/>
                <w:szCs w:val="21"/>
                <w:highlight w:val="none"/>
              </w:rPr>
              <w:t>1.1价格调整：如投标人对招标文件的内容，特别是对招标范围的理解发生误差，有子项漏报的（即该投标人投标报价为漏项报价），经评标委员会评审，按漏项子项和相关标准（有规定标准的按规定标准，无规定标准的按相应的本次招标中最高的单价报价）计算出该投标人的投标调整价；</w:t>
            </w:r>
          </w:p>
          <w:p w14:paraId="7092BD85">
            <w:pPr>
              <w:rPr>
                <w:color w:val="000000"/>
                <w:sz w:val="21"/>
                <w:szCs w:val="21"/>
                <w:highlight w:val="none"/>
              </w:rPr>
            </w:pPr>
            <w:r>
              <w:rPr>
                <w:color w:val="000000"/>
                <w:sz w:val="21"/>
                <w:szCs w:val="21"/>
                <w:highlight w:val="none"/>
              </w:rPr>
              <w:t>1.2价格扣除：投标人的投标报价（如有漏项报价，则为投标调整价）按招标文件规定的价格扣除办法计算其评标价。</w:t>
            </w:r>
          </w:p>
          <w:p w14:paraId="7DC32B45">
            <w:pPr>
              <w:rPr>
                <w:color w:val="000000"/>
                <w:sz w:val="21"/>
                <w:szCs w:val="21"/>
                <w:highlight w:val="none"/>
              </w:rPr>
            </w:pPr>
            <w:r>
              <w:rPr>
                <w:color w:val="000000"/>
                <w:sz w:val="21"/>
                <w:szCs w:val="21"/>
                <w:highlight w:val="none"/>
              </w:rPr>
              <w:t>2.评标基准价：评标价最低的为评标基准价。</w:t>
            </w:r>
          </w:p>
          <w:p w14:paraId="22146BCD">
            <w:pPr>
              <w:rPr>
                <w:color w:val="000000"/>
                <w:sz w:val="21"/>
                <w:szCs w:val="21"/>
                <w:highlight w:val="none"/>
              </w:rPr>
            </w:pPr>
            <w:r>
              <w:rPr>
                <w:color w:val="000000"/>
                <w:sz w:val="21"/>
                <w:szCs w:val="21"/>
                <w:highlight w:val="none"/>
              </w:rPr>
              <w:t>3.投标报价得分计算：评标价为评标基准价的得满分</w:t>
            </w:r>
            <w:r>
              <w:rPr>
                <w:rFonts w:hint="eastAsia"/>
                <w:color w:val="000000"/>
                <w:sz w:val="21"/>
                <w:szCs w:val="21"/>
                <w:highlight w:val="none"/>
                <w:lang w:val="en-US" w:eastAsia="zh-CN"/>
              </w:rPr>
              <w:t>31</w:t>
            </w:r>
            <w:r>
              <w:rPr>
                <w:color w:val="000000"/>
                <w:sz w:val="21"/>
                <w:szCs w:val="21"/>
                <w:highlight w:val="none"/>
              </w:rPr>
              <w:t>分。其他投标人的投标报价得分统一按下列公式计算：投标报价得分=（评标基准价/评标价）*</w:t>
            </w:r>
            <w:r>
              <w:rPr>
                <w:rFonts w:hint="eastAsia"/>
                <w:color w:val="000000"/>
                <w:sz w:val="21"/>
                <w:szCs w:val="21"/>
                <w:highlight w:val="none"/>
                <w:lang w:val="en-US" w:eastAsia="zh-CN"/>
              </w:rPr>
              <w:t>31</w:t>
            </w:r>
            <w:r>
              <w:rPr>
                <w:color w:val="000000"/>
                <w:sz w:val="21"/>
                <w:szCs w:val="21"/>
                <w:highlight w:val="none"/>
              </w:rPr>
              <w:t xml:space="preserve">。 </w:t>
            </w:r>
          </w:p>
          <w:p w14:paraId="1A1A77DB">
            <w:pPr>
              <w:rPr>
                <w:color w:val="000000"/>
                <w:sz w:val="21"/>
                <w:szCs w:val="21"/>
                <w:highlight w:val="none"/>
              </w:rPr>
            </w:pPr>
            <w:r>
              <w:rPr>
                <w:color w:val="000000"/>
                <w:sz w:val="21"/>
                <w:szCs w:val="21"/>
                <w:highlight w:val="none"/>
              </w:rPr>
              <w:t>4.有漏项报价的不然，在按上述公式计算出其投标报价得分基础上，其漏项报价每低于投标调整价1%，再扣1分，得出该投标人的投标报价最终得分。若其最终中标，则中标价格为其投标报价，投标人应无异议，否则视该投标为无效投标。</w:t>
            </w:r>
          </w:p>
          <w:p w14:paraId="76FFB7C0">
            <w:pPr>
              <w:rPr>
                <w:rFonts w:hint="eastAsia"/>
                <w:color w:val="000000"/>
                <w:sz w:val="21"/>
                <w:szCs w:val="21"/>
                <w:highlight w:val="none"/>
              </w:rPr>
            </w:pPr>
            <w:r>
              <w:rPr>
                <w:rFonts w:hint="eastAsia"/>
                <w:color w:val="000000"/>
                <w:sz w:val="21"/>
                <w:szCs w:val="21"/>
                <w:highlight w:val="none"/>
              </w:rPr>
              <w:t>注：评标价（含一个或同时多个）低于其他有效投标人的评标价平均值</w:t>
            </w:r>
            <w:r>
              <w:rPr>
                <w:color w:val="000000"/>
                <w:sz w:val="21"/>
                <w:szCs w:val="21"/>
                <w:highlight w:val="none"/>
              </w:rPr>
              <w:t>50%时，评标委员会应当要求该投标人作出书面说明并提供相关证明材料。该投标人不能合理说明或不能提供相关证明材料的，视作该投标为无效投标。</w:t>
            </w:r>
          </w:p>
        </w:tc>
      </w:tr>
      <w:tr w14:paraId="2C78C781">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c>
          <w:tcPr>
            <w:tcW w:w="1703" w:type="dxa"/>
            <w:tcBorders>
              <w:top w:val="outset" w:color="auto" w:sz="6" w:space="0"/>
              <w:left w:val="outset" w:color="auto" w:sz="6" w:space="0"/>
              <w:bottom w:val="outset" w:color="auto" w:sz="6" w:space="0"/>
              <w:right w:val="outset" w:color="auto" w:sz="6" w:space="0"/>
            </w:tcBorders>
            <w:noWrap w:val="0"/>
            <w:vAlign w:val="center"/>
          </w:tcPr>
          <w:p w14:paraId="1CAEDDCD">
            <w:pPr>
              <w:jc w:val="center"/>
              <w:rPr>
                <w:rFonts w:hint="eastAsia"/>
                <w:color w:val="000000"/>
                <w:sz w:val="21"/>
                <w:szCs w:val="21"/>
                <w:highlight w:val="none"/>
                <w:lang w:val="en-US"/>
              </w:rPr>
            </w:pPr>
            <w:r>
              <w:rPr>
                <w:rFonts w:hint="eastAsia"/>
                <w:color w:val="000000"/>
                <w:sz w:val="21"/>
                <w:szCs w:val="21"/>
                <w:highlight w:val="none"/>
                <w:lang w:val="en-US"/>
              </w:rPr>
              <w:t>投标人业绩</w:t>
            </w:r>
          </w:p>
        </w:tc>
        <w:tc>
          <w:tcPr>
            <w:tcW w:w="1005" w:type="dxa"/>
            <w:tcBorders>
              <w:top w:val="outset" w:color="auto" w:sz="6" w:space="0"/>
              <w:left w:val="outset" w:color="auto" w:sz="6" w:space="0"/>
              <w:bottom w:val="outset" w:color="auto" w:sz="6" w:space="0"/>
              <w:right w:val="outset" w:color="auto" w:sz="6" w:space="0"/>
            </w:tcBorders>
            <w:noWrap w:val="0"/>
            <w:vAlign w:val="center"/>
          </w:tcPr>
          <w:p w14:paraId="59AD3747">
            <w:pPr>
              <w:jc w:val="center"/>
              <w:rPr>
                <w:rFonts w:hint="eastAsia"/>
                <w:color w:val="000000"/>
                <w:sz w:val="21"/>
                <w:szCs w:val="21"/>
                <w:highlight w:val="none"/>
              </w:rPr>
            </w:pPr>
            <w:r>
              <w:rPr>
                <w:rFonts w:hint="eastAsia"/>
                <w:color w:val="000000"/>
                <w:sz w:val="21"/>
                <w:szCs w:val="21"/>
                <w:highlight w:val="none"/>
                <w:lang w:val="en-US" w:eastAsia="zh-CN"/>
              </w:rPr>
              <w:t>6</w:t>
            </w:r>
            <w:r>
              <w:rPr>
                <w:rFonts w:hint="eastAsia"/>
                <w:color w:val="000000"/>
                <w:sz w:val="21"/>
                <w:szCs w:val="21"/>
                <w:highlight w:val="none"/>
              </w:rPr>
              <w:t>分</w:t>
            </w:r>
          </w:p>
        </w:tc>
        <w:tc>
          <w:tcPr>
            <w:tcW w:w="6030" w:type="dxa"/>
            <w:tcBorders>
              <w:top w:val="outset" w:color="auto" w:sz="6" w:space="0"/>
              <w:left w:val="outset" w:color="auto" w:sz="6" w:space="0"/>
              <w:bottom w:val="outset" w:color="auto" w:sz="6" w:space="0"/>
              <w:right w:val="outset" w:color="auto" w:sz="6" w:space="0"/>
            </w:tcBorders>
            <w:noWrap w:val="0"/>
            <w:vAlign w:val="center"/>
          </w:tcPr>
          <w:p w14:paraId="03B5E40F">
            <w:pPr>
              <w:rPr>
                <w:rFonts w:hint="eastAsia"/>
                <w:sz w:val="21"/>
                <w:szCs w:val="21"/>
                <w:highlight w:val="none"/>
              </w:rPr>
            </w:pPr>
            <w:r>
              <w:rPr>
                <w:rFonts w:hint="eastAsia"/>
                <w:sz w:val="21"/>
                <w:szCs w:val="21"/>
                <w:highlight w:val="none"/>
                <w:lang w:val="en-US"/>
              </w:rPr>
              <w:t>投标人</w:t>
            </w:r>
            <w:r>
              <w:rPr>
                <w:rFonts w:hint="eastAsia"/>
                <w:sz w:val="21"/>
                <w:szCs w:val="21"/>
                <w:highlight w:val="none"/>
              </w:rPr>
              <w:t>具备同类业务（</w:t>
            </w:r>
            <w:r>
              <w:rPr>
                <w:rFonts w:hint="eastAsia"/>
                <w:sz w:val="21"/>
                <w:szCs w:val="21"/>
                <w:highlight w:val="none"/>
                <w:lang w:val="en-US" w:eastAsia="zh-CN"/>
              </w:rPr>
              <w:t>含关节镜刨削刀头</w:t>
            </w:r>
            <w:r>
              <w:rPr>
                <w:rFonts w:hint="eastAsia"/>
                <w:sz w:val="21"/>
                <w:szCs w:val="21"/>
                <w:highlight w:val="none"/>
              </w:rPr>
              <w:t>）业绩的，提供业绩合同，每有一份业绩合同加</w:t>
            </w:r>
            <w:r>
              <w:rPr>
                <w:rFonts w:hint="eastAsia"/>
                <w:sz w:val="21"/>
                <w:szCs w:val="21"/>
                <w:highlight w:val="none"/>
                <w:lang w:val="en-US"/>
              </w:rPr>
              <w:t>2</w:t>
            </w:r>
            <w:r>
              <w:rPr>
                <w:rFonts w:hint="eastAsia"/>
                <w:sz w:val="21"/>
                <w:szCs w:val="21"/>
                <w:highlight w:val="none"/>
              </w:rPr>
              <w:t>分，加满为止。</w:t>
            </w:r>
          </w:p>
          <w:p w14:paraId="5ADF3A7A">
            <w:pPr>
              <w:rPr>
                <w:rFonts w:hint="eastAsia"/>
                <w:color w:val="000000"/>
                <w:sz w:val="21"/>
                <w:szCs w:val="21"/>
                <w:highlight w:val="none"/>
              </w:rPr>
            </w:pPr>
            <w:r>
              <w:rPr>
                <w:rFonts w:hint="eastAsia"/>
                <w:color w:val="000000"/>
                <w:sz w:val="21"/>
                <w:szCs w:val="21"/>
                <w:highlight w:val="none"/>
                <w:lang w:val="en-US"/>
              </w:rPr>
              <w:t>注：</w:t>
            </w:r>
            <w:r>
              <w:rPr>
                <w:rFonts w:hint="eastAsia"/>
                <w:color w:val="000000"/>
                <w:sz w:val="21"/>
                <w:szCs w:val="21"/>
                <w:highlight w:val="none"/>
              </w:rPr>
              <w:t>投标文件中须提供业绩合同，扫描件应能辨识买卖双方公章或合同专用章、标的信息；如业绩合同不能体现以上全部内容，可提供业绩合同甲方盖公章的证明扫描件。否则，不得分。</w:t>
            </w:r>
          </w:p>
        </w:tc>
      </w:tr>
    </w:tbl>
    <w:p w14:paraId="3D7D1771">
      <w:pPr>
        <w:pStyle w:val="14"/>
        <w:tabs>
          <w:tab w:val="left" w:pos="1346"/>
        </w:tabs>
        <w:spacing w:before="130" w:line="357" w:lineRule="auto"/>
        <w:ind w:left="819" w:right="691" w:firstLine="0"/>
        <w:rPr>
          <w:rFonts w:hint="eastAsia"/>
          <w:color w:val="000000"/>
          <w:spacing w:val="-8"/>
          <w:sz w:val="21"/>
          <w:szCs w:val="21"/>
          <w:highlight w:val="none"/>
        </w:rPr>
      </w:pPr>
    </w:p>
    <w:tbl>
      <w:tblPr>
        <w:tblStyle w:val="10"/>
        <w:tblW w:w="8699" w:type="dxa"/>
        <w:tblInd w:w="10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699"/>
      </w:tblGrid>
      <w:tr w14:paraId="7375FD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99" w:type="dxa"/>
            <w:noWrap w:val="0"/>
            <w:vAlign w:val="top"/>
          </w:tcPr>
          <w:p w14:paraId="142C3E59">
            <w:pPr>
              <w:pStyle w:val="4"/>
              <w:wordWrap w:val="0"/>
              <w:spacing w:line="360" w:lineRule="auto"/>
              <w:jc w:val="both"/>
              <w:rPr>
                <w:rFonts w:hint="eastAsia"/>
                <w:color w:val="000000"/>
                <w:sz w:val="21"/>
                <w:szCs w:val="21"/>
                <w:highlight w:val="none"/>
                <w:lang w:val="en-US"/>
              </w:rPr>
            </w:pPr>
            <w:r>
              <w:rPr>
                <w:rFonts w:hint="eastAsia"/>
                <w:color w:val="000000"/>
                <w:sz w:val="21"/>
                <w:szCs w:val="21"/>
                <w:highlight w:val="none"/>
                <w:lang w:val="en-US"/>
              </w:rPr>
              <w:t>注：投标报价有算术错误及其他错误的，评标委员会按以下原则要求投标人对投标报价进行修正，并要求投标人书面澄清确认。投标人拒不澄清确认的，评标委员会应当否决其投标：</w:t>
            </w:r>
          </w:p>
          <w:p w14:paraId="172B7056">
            <w:pPr>
              <w:pStyle w:val="4"/>
              <w:wordWrap w:val="0"/>
              <w:spacing w:line="360" w:lineRule="auto"/>
              <w:jc w:val="both"/>
              <w:rPr>
                <w:rFonts w:hint="eastAsia"/>
                <w:color w:val="000000"/>
                <w:sz w:val="21"/>
                <w:szCs w:val="21"/>
                <w:highlight w:val="none"/>
                <w:lang w:val="en-US"/>
              </w:rPr>
            </w:pPr>
            <w:r>
              <w:rPr>
                <w:rFonts w:hint="eastAsia"/>
                <w:color w:val="000000"/>
                <w:sz w:val="21"/>
                <w:szCs w:val="21"/>
                <w:highlight w:val="none"/>
                <w:lang w:val="en-US"/>
              </w:rPr>
              <w:t>（1）投标文件中的大写金额与小写金额不一致的，以大写金额为准；</w:t>
            </w:r>
          </w:p>
          <w:p w14:paraId="0E9892BD">
            <w:pPr>
              <w:pStyle w:val="4"/>
              <w:wordWrap w:val="0"/>
              <w:spacing w:line="360" w:lineRule="auto"/>
              <w:jc w:val="both"/>
              <w:rPr>
                <w:rFonts w:hint="eastAsia"/>
                <w:color w:val="000000"/>
                <w:sz w:val="21"/>
                <w:szCs w:val="21"/>
                <w:highlight w:val="none"/>
                <w:lang w:val="en-US"/>
              </w:rPr>
            </w:pPr>
            <w:r>
              <w:rPr>
                <w:rFonts w:hint="eastAsia"/>
                <w:color w:val="000000"/>
                <w:sz w:val="21"/>
                <w:szCs w:val="21"/>
                <w:highlight w:val="none"/>
                <w:lang w:val="en-US"/>
              </w:rPr>
              <w:t>（2）总价金额与单价金额不一致的，以单价金额为准，但单价金额小数点有明显错误的除外；</w:t>
            </w:r>
          </w:p>
          <w:p w14:paraId="5E29FE7D">
            <w:pPr>
              <w:pStyle w:val="4"/>
              <w:wordWrap w:val="0"/>
              <w:spacing w:line="360" w:lineRule="auto"/>
              <w:jc w:val="both"/>
              <w:rPr>
                <w:rFonts w:hint="eastAsia"/>
                <w:color w:val="000000"/>
                <w:sz w:val="21"/>
                <w:szCs w:val="21"/>
                <w:highlight w:val="none"/>
                <w:lang w:val="en-US"/>
              </w:rPr>
            </w:pPr>
            <w:r>
              <w:rPr>
                <w:rFonts w:hint="eastAsia"/>
                <w:color w:val="000000"/>
                <w:sz w:val="21"/>
                <w:szCs w:val="21"/>
                <w:highlight w:val="none"/>
                <w:lang w:val="en-US"/>
              </w:rPr>
              <w:t>（3）投标报价为各分项报价金额之和，投标报价与分项报价的合价不一致的，应以各分项合价累计数为准，修正投标报价；</w:t>
            </w:r>
          </w:p>
          <w:p w14:paraId="42B60F7A">
            <w:pPr>
              <w:pStyle w:val="4"/>
              <w:wordWrap w:val="0"/>
              <w:spacing w:line="360" w:lineRule="auto"/>
              <w:jc w:val="both"/>
              <w:rPr>
                <w:rFonts w:hint="eastAsia"/>
                <w:color w:val="000000"/>
                <w:spacing w:val="-8"/>
                <w:sz w:val="21"/>
                <w:szCs w:val="21"/>
                <w:highlight w:val="none"/>
              </w:rPr>
            </w:pPr>
            <w:r>
              <w:rPr>
                <w:rFonts w:hint="eastAsia"/>
                <w:color w:val="000000"/>
                <w:sz w:val="21"/>
                <w:szCs w:val="21"/>
                <w:highlight w:val="none"/>
                <w:lang w:val="en-US"/>
              </w:rPr>
              <w:t>（4）如果分项报价中存在缺漏项，则视为缺漏项价格已包含在其他分项报价之中。</w:t>
            </w:r>
          </w:p>
        </w:tc>
      </w:tr>
    </w:tbl>
    <w:p w14:paraId="025705B1">
      <w:pPr>
        <w:spacing w:line="360" w:lineRule="auto"/>
        <w:ind w:firstLine="420" w:firstLineChars="200"/>
        <w:rPr>
          <w:rFonts w:hint="eastAsia"/>
          <w:color w:val="000000"/>
          <w:sz w:val="21"/>
          <w:szCs w:val="21"/>
          <w:highlight w:val="none"/>
        </w:rPr>
      </w:pPr>
    </w:p>
    <w:p w14:paraId="417117EF">
      <w:pPr>
        <w:spacing w:line="360" w:lineRule="auto"/>
        <w:ind w:firstLine="420" w:firstLineChars="200"/>
        <w:rPr>
          <w:rFonts w:hint="eastAsia"/>
          <w:color w:val="000000"/>
          <w:sz w:val="21"/>
          <w:szCs w:val="21"/>
          <w:highlight w:val="none"/>
        </w:rPr>
      </w:pPr>
      <w:r>
        <w:rPr>
          <w:rFonts w:hint="eastAsia"/>
          <w:color w:val="000000"/>
          <w:sz w:val="21"/>
          <w:szCs w:val="21"/>
          <w:highlight w:val="none"/>
        </w:rPr>
        <w:t>3.3技术标评审内容及标准（</w:t>
      </w:r>
      <w:r>
        <w:rPr>
          <w:rFonts w:hint="eastAsia"/>
          <w:color w:val="000000"/>
          <w:sz w:val="21"/>
          <w:szCs w:val="21"/>
          <w:highlight w:val="none"/>
          <w:lang w:val="en-US"/>
        </w:rPr>
        <w:t>6</w:t>
      </w:r>
      <w:r>
        <w:rPr>
          <w:rFonts w:hint="eastAsia"/>
          <w:color w:val="000000"/>
          <w:sz w:val="21"/>
          <w:szCs w:val="21"/>
          <w:highlight w:val="none"/>
          <w:lang w:val="en-US" w:eastAsia="zh-CN"/>
        </w:rPr>
        <w:t>3</w:t>
      </w:r>
      <w:r>
        <w:rPr>
          <w:rFonts w:hint="eastAsia"/>
          <w:color w:val="000000"/>
          <w:sz w:val="21"/>
          <w:szCs w:val="21"/>
          <w:highlight w:val="none"/>
        </w:rPr>
        <w:t>分）</w:t>
      </w:r>
    </w:p>
    <w:tbl>
      <w:tblPr>
        <w:tblStyle w:val="9"/>
        <w:tblW w:w="8715" w:type="dxa"/>
        <w:tblInd w:w="-8" w:type="dxa"/>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Layout w:type="fixed"/>
        <w:tblCellMar>
          <w:top w:w="0" w:type="dxa"/>
          <w:left w:w="0" w:type="dxa"/>
          <w:bottom w:w="0" w:type="dxa"/>
          <w:right w:w="0" w:type="dxa"/>
        </w:tblCellMar>
      </w:tblPr>
      <w:tblGrid>
        <w:gridCol w:w="1683"/>
        <w:gridCol w:w="1008"/>
        <w:gridCol w:w="6024"/>
      </w:tblGrid>
      <w:tr w14:paraId="528DA9CE">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c>
          <w:tcPr>
            <w:tcW w:w="1683" w:type="dxa"/>
            <w:tcBorders>
              <w:top w:val="outset" w:color="auto" w:sz="6" w:space="0"/>
              <w:left w:val="outset" w:color="auto" w:sz="6" w:space="0"/>
              <w:bottom w:val="outset" w:color="auto" w:sz="6" w:space="0"/>
              <w:right w:val="outset" w:color="auto" w:sz="6" w:space="0"/>
            </w:tcBorders>
            <w:noWrap w:val="0"/>
            <w:vAlign w:val="center"/>
          </w:tcPr>
          <w:p w14:paraId="0A6158BC">
            <w:pPr>
              <w:wordWrap w:val="0"/>
              <w:topLinePunct/>
              <w:autoSpaceDE/>
              <w:autoSpaceDN/>
              <w:adjustRightInd w:val="0"/>
              <w:snapToGrid w:val="0"/>
              <w:jc w:val="center"/>
              <w:rPr>
                <w:rFonts w:hint="eastAsia"/>
                <w:snapToGrid w:val="0"/>
                <w:sz w:val="21"/>
                <w:szCs w:val="21"/>
                <w:highlight w:val="none"/>
              </w:rPr>
            </w:pPr>
            <w:r>
              <w:rPr>
                <w:rFonts w:hint="eastAsia"/>
                <w:snapToGrid w:val="0"/>
                <w:sz w:val="21"/>
                <w:szCs w:val="21"/>
                <w:highlight w:val="none"/>
              </w:rPr>
              <w:t>评审内容</w:t>
            </w:r>
          </w:p>
        </w:tc>
        <w:tc>
          <w:tcPr>
            <w:tcW w:w="1008" w:type="dxa"/>
            <w:tcBorders>
              <w:top w:val="outset" w:color="auto" w:sz="6" w:space="0"/>
              <w:left w:val="outset" w:color="auto" w:sz="6" w:space="0"/>
              <w:bottom w:val="outset" w:color="auto" w:sz="6" w:space="0"/>
              <w:right w:val="outset" w:color="auto" w:sz="6" w:space="0"/>
            </w:tcBorders>
            <w:noWrap w:val="0"/>
            <w:vAlign w:val="center"/>
          </w:tcPr>
          <w:p w14:paraId="2150F48D">
            <w:pPr>
              <w:wordWrap w:val="0"/>
              <w:topLinePunct/>
              <w:autoSpaceDE/>
              <w:autoSpaceDN/>
              <w:adjustRightInd w:val="0"/>
              <w:snapToGrid w:val="0"/>
              <w:jc w:val="center"/>
              <w:rPr>
                <w:rFonts w:hint="eastAsia"/>
                <w:snapToGrid w:val="0"/>
                <w:sz w:val="21"/>
                <w:szCs w:val="21"/>
                <w:highlight w:val="none"/>
              </w:rPr>
            </w:pPr>
            <w:r>
              <w:rPr>
                <w:rFonts w:hint="eastAsia"/>
                <w:snapToGrid w:val="0"/>
                <w:sz w:val="21"/>
                <w:szCs w:val="21"/>
                <w:highlight w:val="none"/>
              </w:rPr>
              <w:t>分值</w:t>
            </w:r>
          </w:p>
        </w:tc>
        <w:tc>
          <w:tcPr>
            <w:tcW w:w="6024" w:type="dxa"/>
            <w:tcBorders>
              <w:top w:val="outset" w:color="auto" w:sz="6" w:space="0"/>
              <w:left w:val="outset" w:color="auto" w:sz="6" w:space="0"/>
              <w:bottom w:val="outset" w:color="auto" w:sz="6" w:space="0"/>
              <w:right w:val="outset" w:color="auto" w:sz="6" w:space="0"/>
            </w:tcBorders>
            <w:noWrap w:val="0"/>
            <w:vAlign w:val="center"/>
          </w:tcPr>
          <w:p w14:paraId="477A6006">
            <w:pPr>
              <w:wordWrap w:val="0"/>
              <w:topLinePunct/>
              <w:autoSpaceDE/>
              <w:autoSpaceDN/>
              <w:adjustRightInd w:val="0"/>
              <w:snapToGrid w:val="0"/>
              <w:jc w:val="center"/>
              <w:rPr>
                <w:rFonts w:hint="eastAsia"/>
                <w:snapToGrid w:val="0"/>
                <w:sz w:val="21"/>
                <w:szCs w:val="21"/>
                <w:highlight w:val="none"/>
              </w:rPr>
            </w:pPr>
            <w:r>
              <w:rPr>
                <w:rFonts w:hint="eastAsia"/>
                <w:snapToGrid w:val="0"/>
                <w:sz w:val="21"/>
                <w:szCs w:val="21"/>
                <w:highlight w:val="none"/>
              </w:rPr>
              <w:t>评审标准</w:t>
            </w:r>
          </w:p>
        </w:tc>
      </w:tr>
      <w:tr w14:paraId="657E1426">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c>
          <w:tcPr>
            <w:tcW w:w="1683" w:type="dxa"/>
            <w:tcBorders>
              <w:top w:val="outset" w:color="auto" w:sz="6" w:space="0"/>
              <w:left w:val="outset" w:color="auto" w:sz="6" w:space="0"/>
              <w:bottom w:val="outset" w:color="auto" w:sz="6" w:space="0"/>
              <w:right w:val="outset" w:color="auto" w:sz="6" w:space="0"/>
            </w:tcBorders>
            <w:noWrap w:val="0"/>
            <w:vAlign w:val="center"/>
          </w:tcPr>
          <w:p w14:paraId="7228D1B9">
            <w:pPr>
              <w:keepNext w:val="0"/>
              <w:keepLines w:val="0"/>
              <w:pageBreakBefore w:val="0"/>
              <w:widowControl w:val="0"/>
              <w:kinsoku/>
              <w:wordWrap w:val="0"/>
              <w:overflowPunct/>
              <w:topLinePunct/>
              <w:autoSpaceDE/>
              <w:autoSpaceDN/>
              <w:bidi w:val="0"/>
              <w:adjustRightInd w:val="0"/>
              <w:snapToGrid w:val="0"/>
              <w:ind w:left="0" w:leftChars="0" w:right="0" w:rightChars="0"/>
              <w:jc w:val="center"/>
              <w:rPr>
                <w:rFonts w:hint="eastAsia" w:ascii="宋体" w:hAnsi="宋体" w:eastAsia="宋体" w:cs="宋体"/>
                <w:sz w:val="21"/>
                <w:szCs w:val="21"/>
                <w:highlight w:val="none"/>
                <w:lang w:val="zh-CN" w:eastAsia="zh-CN" w:bidi="zh-CN"/>
              </w:rPr>
            </w:pPr>
            <w:r>
              <w:rPr>
                <w:rFonts w:hint="eastAsia" w:ascii="宋体" w:hAnsi="宋体" w:eastAsia="宋体" w:cs="宋体"/>
                <w:sz w:val="21"/>
                <w:szCs w:val="21"/>
                <w:highlight w:val="none"/>
                <w:lang w:val="zh-CN" w:eastAsia="zh-CN" w:bidi="zh-CN"/>
              </w:rPr>
              <w:t>其他技术参数</w:t>
            </w:r>
          </w:p>
        </w:tc>
        <w:tc>
          <w:tcPr>
            <w:tcW w:w="1008" w:type="dxa"/>
            <w:tcBorders>
              <w:top w:val="outset" w:color="auto" w:sz="6" w:space="0"/>
              <w:left w:val="outset" w:color="auto" w:sz="6" w:space="0"/>
              <w:bottom w:val="outset" w:color="auto" w:sz="6" w:space="0"/>
              <w:right w:val="outset" w:color="auto" w:sz="6" w:space="0"/>
            </w:tcBorders>
            <w:noWrap w:val="0"/>
            <w:vAlign w:val="center"/>
          </w:tcPr>
          <w:p w14:paraId="2D83EAF1">
            <w:pPr>
              <w:keepNext w:val="0"/>
              <w:keepLines w:val="0"/>
              <w:pageBreakBefore w:val="0"/>
              <w:widowControl w:val="0"/>
              <w:kinsoku/>
              <w:wordWrap w:val="0"/>
              <w:overflowPunct/>
              <w:topLinePunct/>
              <w:autoSpaceDE/>
              <w:autoSpaceDN/>
              <w:bidi w:val="0"/>
              <w:adjustRightInd w:val="0"/>
              <w:snapToGrid w:val="0"/>
              <w:ind w:left="0" w:leftChars="0" w:right="0" w:rightChars="0"/>
              <w:jc w:val="center"/>
              <w:rPr>
                <w:rFonts w:hint="eastAsia" w:ascii="宋体" w:hAnsi="宋体" w:eastAsia="宋体" w:cs="宋体"/>
                <w:sz w:val="21"/>
                <w:szCs w:val="21"/>
                <w:highlight w:val="none"/>
                <w:lang w:val="en-US" w:eastAsia="zh-CN" w:bidi="zh-CN"/>
              </w:rPr>
            </w:pPr>
            <w:r>
              <w:rPr>
                <w:rFonts w:hint="eastAsia" w:ascii="宋体" w:hAnsi="宋体" w:eastAsia="宋体" w:cs="宋体"/>
                <w:sz w:val="21"/>
                <w:szCs w:val="21"/>
                <w:highlight w:val="none"/>
                <w:lang w:val="en-US" w:eastAsia="zh-CN" w:bidi="zh-CN"/>
              </w:rPr>
              <w:t>3</w:t>
            </w:r>
            <w:r>
              <w:rPr>
                <w:rFonts w:hint="eastAsia" w:ascii="宋体" w:hAnsi="宋体" w:eastAsia="宋体" w:cs="宋体"/>
                <w:sz w:val="21"/>
                <w:szCs w:val="21"/>
                <w:highlight w:val="none"/>
                <w:lang w:val="zh-CN" w:eastAsia="zh-CN" w:bidi="zh-CN"/>
              </w:rPr>
              <w:t>分</w:t>
            </w:r>
          </w:p>
        </w:tc>
        <w:tc>
          <w:tcPr>
            <w:tcW w:w="6024" w:type="dxa"/>
            <w:tcBorders>
              <w:top w:val="outset" w:color="auto" w:sz="6" w:space="0"/>
              <w:left w:val="outset" w:color="auto" w:sz="6" w:space="0"/>
              <w:bottom w:val="outset" w:color="auto" w:sz="6" w:space="0"/>
              <w:right w:val="outset" w:color="auto" w:sz="6" w:space="0"/>
            </w:tcBorders>
            <w:noWrap w:val="0"/>
            <w:vAlign w:val="center"/>
          </w:tcPr>
          <w:p w14:paraId="10DD032E">
            <w:pPr>
              <w:keepNext w:val="0"/>
              <w:keepLines w:val="0"/>
              <w:pageBreakBefore w:val="0"/>
              <w:widowControl w:val="0"/>
              <w:kinsoku/>
              <w:wordWrap w:val="0"/>
              <w:overflowPunct/>
              <w:topLinePunct/>
              <w:autoSpaceDE/>
              <w:autoSpaceDN/>
              <w:bidi w:val="0"/>
              <w:adjustRightInd w:val="0"/>
              <w:snapToGrid w:val="0"/>
              <w:jc w:val="left"/>
              <w:textAlignment w:val="auto"/>
              <w:rPr>
                <w:rFonts w:hint="eastAsia" w:ascii="宋体" w:hAnsi="宋体" w:eastAsia="宋体" w:cs="宋体"/>
                <w:sz w:val="21"/>
                <w:szCs w:val="21"/>
                <w:highlight w:val="none"/>
                <w:lang w:val="zh-CN" w:eastAsia="zh-CN" w:bidi="zh-CN"/>
              </w:rPr>
            </w:pPr>
            <w:r>
              <w:rPr>
                <w:rFonts w:hint="eastAsia" w:ascii="宋体" w:hAnsi="宋体" w:eastAsia="宋体" w:cs="宋体"/>
                <w:sz w:val="21"/>
                <w:szCs w:val="21"/>
                <w:highlight w:val="none"/>
                <w:lang w:val="zh-CN" w:eastAsia="zh-CN" w:bidi="zh-CN"/>
              </w:rPr>
              <w:t>根据投标文件与招标文件要求的其它技术参数（未标记“◆”和“*”的技术参数）偏离情况进行评分。</w:t>
            </w:r>
          </w:p>
          <w:p w14:paraId="5AB53448">
            <w:pPr>
              <w:pStyle w:val="8"/>
              <w:keepNext w:val="0"/>
              <w:keepLines w:val="0"/>
              <w:pageBreakBefore w:val="0"/>
              <w:widowControl w:val="0"/>
              <w:kinsoku/>
              <w:wordWrap w:val="0"/>
              <w:overflowPunct/>
              <w:topLinePunct/>
              <w:autoSpaceDE/>
              <w:autoSpaceDN/>
              <w:bidi w:val="0"/>
              <w:adjustRightInd w:val="0"/>
              <w:snapToGrid w:val="0"/>
              <w:ind w:left="0" w:leftChars="0" w:right="0" w:rightChars="0" w:firstLine="0" w:firstLineChars="0"/>
              <w:textAlignment w:val="auto"/>
              <w:rPr>
                <w:rFonts w:hint="eastAsia" w:ascii="宋体" w:hAnsi="宋体" w:eastAsia="宋体" w:cs="宋体"/>
                <w:sz w:val="21"/>
                <w:szCs w:val="21"/>
                <w:highlight w:val="none"/>
                <w:lang w:val="en-US" w:eastAsia="zh-CN" w:bidi="zh-CN"/>
              </w:rPr>
            </w:pPr>
            <w:r>
              <w:rPr>
                <w:rFonts w:hint="eastAsia" w:ascii="宋体" w:hAnsi="宋体" w:eastAsia="宋体" w:cs="宋体"/>
                <w:sz w:val="21"/>
                <w:szCs w:val="21"/>
                <w:highlight w:val="none"/>
                <w:lang w:val="zh-CN" w:eastAsia="zh-CN" w:bidi="zh-CN"/>
              </w:rPr>
              <w:t xml:space="preserve">各项性能指标全部满足招标文件要求的得满分；与招标文件要求有非实质性负偏离的（以投标文件技术规格偏离表载明的为准），有一项扣 </w:t>
            </w:r>
            <w:r>
              <w:rPr>
                <w:rFonts w:hint="eastAsia" w:ascii="宋体" w:hAnsi="宋体" w:eastAsia="宋体" w:cs="宋体"/>
                <w:sz w:val="21"/>
                <w:szCs w:val="21"/>
                <w:highlight w:val="none"/>
                <w:lang w:val="en-US" w:eastAsia="zh-CN" w:bidi="zh-CN"/>
              </w:rPr>
              <w:t>1</w:t>
            </w:r>
            <w:r>
              <w:rPr>
                <w:rFonts w:hint="eastAsia" w:ascii="宋体" w:hAnsi="宋体" w:eastAsia="宋体" w:cs="宋体"/>
                <w:sz w:val="21"/>
                <w:szCs w:val="21"/>
                <w:highlight w:val="none"/>
                <w:lang w:val="zh-CN" w:eastAsia="zh-CN" w:bidi="zh-CN"/>
              </w:rPr>
              <w:t>，共</w:t>
            </w:r>
            <w:r>
              <w:rPr>
                <w:rFonts w:hint="eastAsia" w:ascii="宋体" w:hAnsi="宋体" w:eastAsia="宋体" w:cs="宋体"/>
                <w:sz w:val="21"/>
                <w:szCs w:val="21"/>
                <w:highlight w:val="none"/>
                <w:lang w:val="en-US" w:eastAsia="zh-CN" w:bidi="zh-CN"/>
              </w:rPr>
              <w:t>3</w:t>
            </w:r>
            <w:r>
              <w:rPr>
                <w:rFonts w:hint="eastAsia" w:ascii="宋体" w:hAnsi="宋体" w:eastAsia="宋体" w:cs="宋体"/>
                <w:sz w:val="21"/>
                <w:szCs w:val="21"/>
                <w:highlight w:val="none"/>
                <w:lang w:val="zh-CN" w:eastAsia="zh-CN" w:bidi="zh-CN"/>
              </w:rPr>
              <w:t>项，共</w:t>
            </w:r>
            <w:r>
              <w:rPr>
                <w:rFonts w:hint="eastAsia" w:ascii="宋体" w:hAnsi="宋体" w:eastAsia="宋体" w:cs="宋体"/>
                <w:sz w:val="21"/>
                <w:szCs w:val="21"/>
                <w:highlight w:val="none"/>
                <w:lang w:val="en-US" w:eastAsia="zh-CN" w:bidi="zh-CN"/>
              </w:rPr>
              <w:t>3</w:t>
            </w:r>
            <w:r>
              <w:rPr>
                <w:rFonts w:hint="eastAsia" w:ascii="宋体" w:hAnsi="宋体" w:eastAsia="宋体" w:cs="宋体"/>
                <w:sz w:val="21"/>
                <w:szCs w:val="21"/>
                <w:highlight w:val="none"/>
                <w:lang w:val="zh-CN" w:eastAsia="zh-CN" w:bidi="zh-CN"/>
              </w:rPr>
              <w:t>分。（同一项参数不重复扣分）</w:t>
            </w:r>
          </w:p>
        </w:tc>
      </w:tr>
      <w:tr w14:paraId="70E28E45">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c>
          <w:tcPr>
            <w:tcW w:w="1683" w:type="dxa"/>
            <w:tcBorders>
              <w:top w:val="outset" w:color="auto" w:sz="6" w:space="0"/>
              <w:left w:val="outset" w:color="auto" w:sz="6" w:space="0"/>
              <w:bottom w:val="outset" w:color="auto" w:sz="6" w:space="0"/>
              <w:right w:val="outset" w:color="auto" w:sz="6" w:space="0"/>
            </w:tcBorders>
            <w:noWrap w:val="0"/>
            <w:vAlign w:val="center"/>
          </w:tcPr>
          <w:p w14:paraId="2E6ABEDD">
            <w:pPr>
              <w:ind w:left="0" w:leftChars="0" w:right="0" w:rightChars="0"/>
              <w:rPr>
                <w:rFonts w:hint="eastAsia" w:ascii="宋体" w:hAnsi="宋体" w:eastAsia="宋体" w:cs="宋体"/>
                <w:sz w:val="21"/>
                <w:szCs w:val="21"/>
                <w:highlight w:val="none"/>
                <w:lang w:val="zh-CN" w:eastAsia="zh-CN" w:bidi="zh-CN"/>
              </w:rPr>
            </w:pPr>
            <w:r>
              <w:rPr>
                <w:rFonts w:hint="eastAsia" w:ascii="宋体" w:hAnsi="宋体" w:eastAsia="宋体" w:cs="宋体"/>
                <w:color w:val="000000"/>
                <w:sz w:val="21"/>
                <w:szCs w:val="21"/>
                <w:highlight w:val="none"/>
                <w:lang w:val="en-US" w:eastAsia="zh-CN"/>
              </w:rPr>
              <w:t>投标产品生产制造工艺</w:t>
            </w:r>
          </w:p>
        </w:tc>
        <w:tc>
          <w:tcPr>
            <w:tcW w:w="1008" w:type="dxa"/>
            <w:tcBorders>
              <w:top w:val="outset" w:color="auto" w:sz="6" w:space="0"/>
              <w:left w:val="outset" w:color="auto" w:sz="6" w:space="0"/>
              <w:bottom w:val="outset" w:color="auto" w:sz="6" w:space="0"/>
              <w:right w:val="outset" w:color="auto" w:sz="6" w:space="0"/>
            </w:tcBorders>
            <w:noWrap w:val="0"/>
            <w:vAlign w:val="center"/>
          </w:tcPr>
          <w:p w14:paraId="0324C963">
            <w:pPr>
              <w:ind w:left="0" w:leftChars="0" w:right="0" w:rightChars="0"/>
              <w:jc w:val="center"/>
              <w:rPr>
                <w:rFonts w:hint="eastAsia" w:ascii="宋体" w:hAnsi="宋体" w:eastAsia="宋体" w:cs="宋体"/>
                <w:sz w:val="21"/>
                <w:szCs w:val="21"/>
                <w:highlight w:val="none"/>
                <w:lang w:val="en-US" w:eastAsia="zh-CN" w:bidi="zh-CN"/>
              </w:rPr>
            </w:pPr>
            <w:r>
              <w:rPr>
                <w:rFonts w:hint="eastAsia" w:ascii="宋体" w:hAnsi="宋体" w:eastAsia="宋体" w:cs="宋体"/>
                <w:color w:val="000000"/>
                <w:sz w:val="21"/>
                <w:szCs w:val="21"/>
                <w:highlight w:val="none"/>
                <w:lang w:val="en-US" w:eastAsia="zh-CN"/>
              </w:rPr>
              <w:t>6分</w:t>
            </w:r>
          </w:p>
        </w:tc>
        <w:tc>
          <w:tcPr>
            <w:tcW w:w="6024" w:type="dxa"/>
            <w:tcBorders>
              <w:top w:val="outset" w:color="auto" w:sz="6" w:space="0"/>
              <w:left w:val="outset" w:color="auto" w:sz="6" w:space="0"/>
              <w:bottom w:val="outset" w:color="auto" w:sz="6" w:space="0"/>
              <w:right w:val="outset" w:color="auto" w:sz="6" w:space="0"/>
            </w:tcBorders>
            <w:noWrap w:val="0"/>
            <w:vAlign w:val="center"/>
          </w:tcPr>
          <w:p w14:paraId="3D64168F">
            <w:pPr>
              <w:ind w:left="0" w:leftChars="0" w:right="0" w:rightChars="0"/>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根据投标产品的生产制造工艺情况，包括生产工艺、生产质量的情况，等内容进行评审。</w:t>
            </w:r>
          </w:p>
          <w:p w14:paraId="4F7D17E3">
            <w:pPr>
              <w:ind w:left="0" w:leftChars="0" w:right="0" w:rightChars="0"/>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（1）生产工艺先进，产品整体符合性强、配置完整、设备功能完善的得6分；</w:t>
            </w:r>
          </w:p>
          <w:p w14:paraId="41BF41DC">
            <w:pPr>
              <w:ind w:left="0" w:leftChars="0" w:right="0" w:rightChars="0"/>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（2）生产工艺达到通用水平，产品整体符合要求、配置基本完整、设备功能基本完善的，得4分；</w:t>
            </w:r>
          </w:p>
          <w:p w14:paraId="135C023E">
            <w:pPr>
              <w:ind w:left="0" w:leftChars="0" w:right="0" w:rightChars="0"/>
              <w:rPr>
                <w:rFonts w:hint="eastAsia" w:ascii="宋体" w:hAnsi="宋体" w:eastAsia="宋体" w:cs="宋体"/>
                <w:color w:val="000000"/>
                <w:sz w:val="21"/>
                <w:szCs w:val="21"/>
                <w:highlight w:val="none"/>
                <w:lang w:val="en-US" w:eastAsia="zh-CN"/>
              </w:rPr>
            </w:pPr>
            <w:r>
              <w:rPr>
                <w:rFonts w:hint="eastAsia" w:ascii="宋体" w:hAnsi="宋体" w:eastAsia="宋体" w:cs="宋体"/>
                <w:color w:val="000000"/>
                <w:sz w:val="21"/>
                <w:szCs w:val="21"/>
                <w:highlight w:val="none"/>
                <w:lang w:val="en-US" w:eastAsia="zh-CN"/>
              </w:rPr>
              <w:t>（3）生产工艺能够满足需要，设备功能能够满足需要，得2分；</w:t>
            </w:r>
          </w:p>
          <w:p w14:paraId="4C7740D2">
            <w:pPr>
              <w:ind w:left="0" w:leftChars="0" w:right="0" w:rightChars="0"/>
              <w:rPr>
                <w:rFonts w:hint="eastAsia" w:ascii="宋体" w:hAnsi="宋体" w:eastAsia="宋体" w:cs="宋体"/>
                <w:sz w:val="21"/>
                <w:szCs w:val="21"/>
                <w:highlight w:val="none"/>
                <w:lang w:val="en-US" w:eastAsia="zh-CN" w:bidi="zh-CN"/>
              </w:rPr>
            </w:pPr>
            <w:r>
              <w:rPr>
                <w:rFonts w:hint="eastAsia" w:ascii="宋体" w:hAnsi="宋体" w:eastAsia="宋体" w:cs="宋体"/>
                <w:color w:val="000000"/>
                <w:sz w:val="21"/>
                <w:szCs w:val="21"/>
                <w:highlight w:val="none"/>
                <w:lang w:val="en-US" w:eastAsia="zh-CN"/>
              </w:rPr>
              <w:t>（4）工艺落后、没有相关管理方案或制度的，不得分，未提供不得分。</w:t>
            </w:r>
          </w:p>
        </w:tc>
      </w:tr>
      <w:tr w14:paraId="427F4A05">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c>
          <w:tcPr>
            <w:tcW w:w="1683" w:type="dxa"/>
            <w:tcBorders>
              <w:top w:val="outset" w:color="auto" w:sz="6" w:space="0"/>
              <w:left w:val="outset" w:color="auto" w:sz="6" w:space="0"/>
              <w:bottom w:val="outset" w:color="auto" w:sz="6" w:space="0"/>
              <w:right w:val="outset" w:color="auto" w:sz="6" w:space="0"/>
            </w:tcBorders>
            <w:noWrap w:val="0"/>
            <w:vAlign w:val="center"/>
          </w:tcPr>
          <w:p w14:paraId="1E72252F">
            <w:pPr>
              <w:keepNext w:val="0"/>
              <w:keepLines w:val="0"/>
              <w:pageBreakBefore w:val="0"/>
              <w:widowControl w:val="0"/>
              <w:kinsoku/>
              <w:wordWrap w:val="0"/>
              <w:overflowPunct/>
              <w:topLinePunct/>
              <w:autoSpaceDE/>
              <w:autoSpaceDN/>
              <w:bidi w:val="0"/>
              <w:adjustRightInd w:val="0"/>
              <w:snapToGrid w:val="0"/>
              <w:ind w:left="0" w:leftChars="0" w:right="0" w:rightChars="0"/>
              <w:jc w:val="center"/>
              <w:textAlignment w:val="auto"/>
              <w:rPr>
                <w:rFonts w:hint="eastAsia" w:ascii="宋体" w:hAnsi="宋体" w:eastAsia="宋体" w:cs="宋体"/>
                <w:sz w:val="21"/>
                <w:szCs w:val="21"/>
                <w:highlight w:val="none"/>
                <w:lang w:val="en-US" w:eastAsia="zh-CN" w:bidi="zh-CN"/>
              </w:rPr>
            </w:pPr>
            <w:r>
              <w:rPr>
                <w:rFonts w:hint="eastAsia" w:ascii="宋体" w:hAnsi="宋体" w:eastAsia="宋体" w:cs="宋体"/>
                <w:sz w:val="21"/>
                <w:szCs w:val="21"/>
                <w:highlight w:val="none"/>
                <w:lang w:val="en-US" w:eastAsia="zh-CN" w:bidi="zh-CN"/>
              </w:rPr>
              <w:t>投标产品的安全性和可靠性</w:t>
            </w:r>
          </w:p>
          <w:p w14:paraId="648DF397">
            <w:pPr>
              <w:keepNext w:val="0"/>
              <w:keepLines w:val="0"/>
              <w:pageBreakBefore w:val="0"/>
              <w:widowControl w:val="0"/>
              <w:kinsoku/>
              <w:wordWrap w:val="0"/>
              <w:overflowPunct/>
              <w:topLinePunct/>
              <w:autoSpaceDE/>
              <w:autoSpaceDN/>
              <w:bidi w:val="0"/>
              <w:adjustRightInd w:val="0"/>
              <w:snapToGrid w:val="0"/>
              <w:ind w:left="0" w:leftChars="0" w:right="0" w:rightChars="0"/>
              <w:jc w:val="center"/>
              <w:textAlignment w:val="auto"/>
              <w:rPr>
                <w:rFonts w:hint="eastAsia" w:ascii="宋体" w:hAnsi="宋体" w:eastAsia="宋体" w:cs="宋体"/>
                <w:sz w:val="21"/>
                <w:szCs w:val="21"/>
                <w:highlight w:val="none"/>
                <w:lang w:val="zh-CN" w:eastAsia="zh-CN" w:bidi="zh-CN"/>
              </w:rPr>
            </w:pPr>
          </w:p>
        </w:tc>
        <w:tc>
          <w:tcPr>
            <w:tcW w:w="1008" w:type="dxa"/>
            <w:tcBorders>
              <w:top w:val="outset" w:color="auto" w:sz="6" w:space="0"/>
              <w:left w:val="outset" w:color="auto" w:sz="6" w:space="0"/>
              <w:bottom w:val="outset" w:color="auto" w:sz="6" w:space="0"/>
              <w:right w:val="outset" w:color="auto" w:sz="6" w:space="0"/>
            </w:tcBorders>
            <w:noWrap w:val="0"/>
            <w:vAlign w:val="center"/>
          </w:tcPr>
          <w:p w14:paraId="4411AE49">
            <w:pPr>
              <w:keepNext w:val="0"/>
              <w:keepLines w:val="0"/>
              <w:pageBreakBefore w:val="0"/>
              <w:widowControl w:val="0"/>
              <w:kinsoku/>
              <w:wordWrap w:val="0"/>
              <w:overflowPunct/>
              <w:topLinePunct/>
              <w:autoSpaceDE/>
              <w:autoSpaceDN/>
              <w:bidi w:val="0"/>
              <w:adjustRightInd w:val="0"/>
              <w:snapToGrid w:val="0"/>
              <w:ind w:left="0" w:leftChars="0" w:right="0" w:rightChars="0"/>
              <w:jc w:val="center"/>
              <w:textAlignment w:val="auto"/>
              <w:rPr>
                <w:rFonts w:hint="eastAsia" w:ascii="宋体" w:hAnsi="宋体" w:eastAsia="宋体" w:cs="宋体"/>
                <w:sz w:val="21"/>
                <w:szCs w:val="21"/>
                <w:highlight w:val="none"/>
                <w:lang w:val="zh-CN" w:eastAsia="zh-CN" w:bidi="zh-CN"/>
              </w:rPr>
            </w:pPr>
            <w:r>
              <w:rPr>
                <w:rFonts w:hint="eastAsia" w:ascii="宋体" w:hAnsi="宋体" w:eastAsia="宋体" w:cs="宋体"/>
                <w:sz w:val="21"/>
                <w:szCs w:val="21"/>
                <w:highlight w:val="none"/>
                <w:lang w:val="en-US" w:eastAsia="zh-CN" w:bidi="zh-CN"/>
              </w:rPr>
              <w:t>6分</w:t>
            </w:r>
          </w:p>
        </w:tc>
        <w:tc>
          <w:tcPr>
            <w:tcW w:w="6024" w:type="dxa"/>
            <w:tcBorders>
              <w:top w:val="outset" w:color="auto" w:sz="6" w:space="0"/>
              <w:left w:val="outset" w:color="auto" w:sz="6" w:space="0"/>
              <w:bottom w:val="outset" w:color="auto" w:sz="6" w:space="0"/>
              <w:right w:val="outset" w:color="auto" w:sz="6" w:space="0"/>
            </w:tcBorders>
            <w:noWrap w:val="0"/>
            <w:vAlign w:val="center"/>
          </w:tcPr>
          <w:p w14:paraId="5B01E973">
            <w:pPr>
              <w:keepNext w:val="0"/>
              <w:keepLines w:val="0"/>
              <w:pageBreakBefore w:val="0"/>
              <w:widowControl w:val="0"/>
              <w:kinsoku/>
              <w:wordWrap w:val="0"/>
              <w:overflowPunct/>
              <w:topLinePunct/>
              <w:autoSpaceDE/>
              <w:autoSpaceDN/>
              <w:bidi w:val="0"/>
              <w:adjustRightInd w:val="0"/>
              <w:snapToGrid w:val="0"/>
              <w:ind w:left="0" w:leftChars="0" w:right="0" w:rightChars="0"/>
              <w:jc w:val="left"/>
              <w:textAlignment w:val="auto"/>
              <w:rPr>
                <w:rFonts w:hint="eastAsia" w:ascii="宋体" w:hAnsi="宋体" w:eastAsia="宋体" w:cs="宋体"/>
                <w:sz w:val="21"/>
                <w:szCs w:val="21"/>
                <w:highlight w:val="none"/>
                <w:lang w:val="en-US" w:eastAsia="zh-CN" w:bidi="zh-CN"/>
              </w:rPr>
            </w:pPr>
            <w:r>
              <w:rPr>
                <w:rFonts w:hint="eastAsia" w:ascii="宋体" w:hAnsi="宋体" w:eastAsia="宋体" w:cs="宋体"/>
                <w:sz w:val="21"/>
                <w:szCs w:val="21"/>
                <w:highlight w:val="none"/>
                <w:lang w:val="en-US" w:eastAsia="zh-CN" w:bidi="zh-CN"/>
              </w:rPr>
              <w:t xml:space="preserve">根据投标产品的安全和可靠性能等内容进行评审。 </w:t>
            </w:r>
          </w:p>
          <w:p w14:paraId="48B0C060">
            <w:pPr>
              <w:keepNext w:val="0"/>
              <w:keepLines w:val="0"/>
              <w:pageBreakBefore w:val="0"/>
              <w:widowControl w:val="0"/>
              <w:kinsoku/>
              <w:wordWrap w:val="0"/>
              <w:overflowPunct/>
              <w:topLinePunct/>
              <w:autoSpaceDE/>
              <w:autoSpaceDN/>
              <w:bidi w:val="0"/>
              <w:adjustRightInd w:val="0"/>
              <w:snapToGrid w:val="0"/>
              <w:ind w:left="0" w:leftChars="0" w:right="0" w:rightChars="0"/>
              <w:jc w:val="left"/>
              <w:textAlignment w:val="auto"/>
              <w:rPr>
                <w:rFonts w:hint="eastAsia" w:ascii="宋体" w:hAnsi="宋体" w:eastAsia="宋体" w:cs="宋体"/>
                <w:sz w:val="21"/>
                <w:szCs w:val="21"/>
                <w:highlight w:val="none"/>
                <w:lang w:val="en-US" w:eastAsia="zh-CN" w:bidi="zh-CN"/>
              </w:rPr>
            </w:pPr>
            <w:r>
              <w:rPr>
                <w:rFonts w:hint="eastAsia" w:ascii="宋体" w:hAnsi="宋体" w:eastAsia="宋体" w:cs="宋体"/>
                <w:sz w:val="21"/>
                <w:szCs w:val="21"/>
                <w:highlight w:val="none"/>
                <w:lang w:val="en-US" w:eastAsia="zh-CN" w:bidi="zh-CN"/>
              </w:rPr>
              <w:t xml:space="preserve">1.内容完整详细，可行性、实用性、针对性强，得6分； </w:t>
            </w:r>
          </w:p>
          <w:p w14:paraId="270E65D6">
            <w:pPr>
              <w:keepNext w:val="0"/>
              <w:keepLines w:val="0"/>
              <w:pageBreakBefore w:val="0"/>
              <w:widowControl w:val="0"/>
              <w:kinsoku/>
              <w:wordWrap w:val="0"/>
              <w:overflowPunct/>
              <w:topLinePunct/>
              <w:autoSpaceDE/>
              <w:autoSpaceDN/>
              <w:bidi w:val="0"/>
              <w:adjustRightInd w:val="0"/>
              <w:snapToGrid w:val="0"/>
              <w:ind w:left="0" w:leftChars="0" w:right="0" w:rightChars="0"/>
              <w:jc w:val="left"/>
              <w:textAlignment w:val="auto"/>
              <w:rPr>
                <w:rFonts w:hint="eastAsia" w:ascii="宋体" w:hAnsi="宋体" w:eastAsia="宋体" w:cs="宋体"/>
                <w:sz w:val="21"/>
                <w:szCs w:val="21"/>
                <w:highlight w:val="none"/>
                <w:lang w:val="en-US" w:eastAsia="zh-CN" w:bidi="zh-CN"/>
              </w:rPr>
            </w:pPr>
            <w:r>
              <w:rPr>
                <w:rFonts w:hint="eastAsia" w:ascii="宋体" w:hAnsi="宋体" w:eastAsia="宋体" w:cs="宋体"/>
                <w:sz w:val="21"/>
                <w:szCs w:val="21"/>
                <w:highlight w:val="none"/>
                <w:lang w:val="en-US" w:eastAsia="zh-CN" w:bidi="zh-CN"/>
              </w:rPr>
              <w:t xml:space="preserve">2.内容具有可行性、实用性、针对性，得4分； </w:t>
            </w:r>
          </w:p>
          <w:p w14:paraId="2DBB3A27">
            <w:pPr>
              <w:keepNext w:val="0"/>
              <w:keepLines w:val="0"/>
              <w:pageBreakBefore w:val="0"/>
              <w:widowControl w:val="0"/>
              <w:kinsoku/>
              <w:wordWrap w:val="0"/>
              <w:overflowPunct/>
              <w:topLinePunct/>
              <w:autoSpaceDE/>
              <w:autoSpaceDN/>
              <w:bidi w:val="0"/>
              <w:adjustRightInd w:val="0"/>
              <w:snapToGrid w:val="0"/>
              <w:ind w:left="0" w:leftChars="0" w:right="0" w:rightChars="0"/>
              <w:jc w:val="left"/>
              <w:textAlignment w:val="auto"/>
              <w:rPr>
                <w:rFonts w:hint="eastAsia" w:ascii="宋体" w:hAnsi="宋体" w:eastAsia="宋体" w:cs="宋体"/>
                <w:sz w:val="21"/>
                <w:szCs w:val="21"/>
                <w:highlight w:val="none"/>
                <w:lang w:val="en-US" w:eastAsia="zh-CN" w:bidi="zh-CN"/>
              </w:rPr>
            </w:pPr>
            <w:r>
              <w:rPr>
                <w:rFonts w:hint="eastAsia" w:ascii="宋体" w:hAnsi="宋体" w:eastAsia="宋体" w:cs="宋体"/>
                <w:sz w:val="21"/>
                <w:szCs w:val="21"/>
                <w:highlight w:val="none"/>
                <w:lang w:val="en-US" w:eastAsia="zh-CN" w:bidi="zh-CN"/>
              </w:rPr>
              <w:t xml:space="preserve">3.内容可行性、实用性、针对性有待改善，得2分； </w:t>
            </w:r>
          </w:p>
          <w:p w14:paraId="55837774">
            <w:pPr>
              <w:keepNext w:val="0"/>
              <w:keepLines w:val="0"/>
              <w:pageBreakBefore w:val="0"/>
              <w:widowControl w:val="0"/>
              <w:kinsoku/>
              <w:wordWrap w:val="0"/>
              <w:overflowPunct/>
              <w:topLinePunct/>
              <w:autoSpaceDE/>
              <w:autoSpaceDN/>
              <w:bidi w:val="0"/>
              <w:adjustRightInd w:val="0"/>
              <w:snapToGrid w:val="0"/>
              <w:ind w:left="0" w:leftChars="0" w:right="0" w:rightChars="0"/>
              <w:jc w:val="left"/>
              <w:textAlignment w:val="auto"/>
              <w:rPr>
                <w:rFonts w:hint="eastAsia" w:ascii="宋体" w:hAnsi="宋体" w:eastAsia="宋体" w:cs="宋体"/>
                <w:sz w:val="21"/>
                <w:szCs w:val="21"/>
                <w:highlight w:val="none"/>
                <w:lang w:val="en-US" w:eastAsia="zh-CN" w:bidi="zh-CN"/>
              </w:rPr>
            </w:pPr>
            <w:r>
              <w:rPr>
                <w:rFonts w:hint="eastAsia" w:ascii="宋体" w:hAnsi="宋体" w:eastAsia="宋体" w:cs="宋体"/>
                <w:sz w:val="21"/>
                <w:szCs w:val="21"/>
                <w:highlight w:val="none"/>
                <w:lang w:val="en-US" w:eastAsia="zh-CN" w:bidi="zh-CN"/>
              </w:rPr>
              <w:t>4.内容不可行或未提供得0分；</w:t>
            </w:r>
          </w:p>
        </w:tc>
      </w:tr>
      <w:tr w14:paraId="0BF64A0F">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c>
          <w:tcPr>
            <w:tcW w:w="1683" w:type="dxa"/>
            <w:tcBorders>
              <w:top w:val="outset" w:color="auto" w:sz="6" w:space="0"/>
              <w:left w:val="outset" w:color="auto" w:sz="6" w:space="0"/>
              <w:bottom w:val="outset" w:color="auto" w:sz="6" w:space="0"/>
              <w:right w:val="outset" w:color="auto" w:sz="6" w:space="0"/>
            </w:tcBorders>
            <w:noWrap w:val="0"/>
            <w:vAlign w:val="center"/>
          </w:tcPr>
          <w:p w14:paraId="3794A73B">
            <w:pPr>
              <w:keepNext w:val="0"/>
              <w:keepLines w:val="0"/>
              <w:pageBreakBefore w:val="0"/>
              <w:widowControl w:val="0"/>
              <w:kinsoku/>
              <w:wordWrap w:val="0"/>
              <w:overflowPunct/>
              <w:topLinePunct/>
              <w:autoSpaceDE/>
              <w:autoSpaceDN/>
              <w:bidi w:val="0"/>
              <w:adjustRightInd w:val="0"/>
              <w:snapToGrid w:val="0"/>
              <w:ind w:left="0" w:leftChars="0" w:right="0" w:rightChars="0"/>
              <w:jc w:val="center"/>
              <w:textAlignment w:val="auto"/>
              <w:rPr>
                <w:rFonts w:hint="eastAsia" w:ascii="宋体" w:hAnsi="宋体" w:eastAsia="宋体" w:cs="宋体"/>
                <w:sz w:val="21"/>
                <w:szCs w:val="21"/>
                <w:highlight w:val="none"/>
                <w:lang w:val="en-US" w:eastAsia="zh-CN" w:bidi="zh-CN"/>
              </w:rPr>
            </w:pPr>
            <w:r>
              <w:rPr>
                <w:rFonts w:hint="eastAsia" w:ascii="宋体" w:hAnsi="宋体" w:eastAsia="宋体" w:cs="宋体"/>
                <w:sz w:val="21"/>
                <w:szCs w:val="21"/>
                <w:highlight w:val="none"/>
                <w:lang w:val="en-US" w:eastAsia="zh-CN" w:bidi="zh-CN"/>
              </w:rPr>
              <w:t>供货实施方案</w:t>
            </w:r>
          </w:p>
          <w:p w14:paraId="47069E9B">
            <w:pPr>
              <w:keepNext w:val="0"/>
              <w:keepLines w:val="0"/>
              <w:pageBreakBefore w:val="0"/>
              <w:widowControl w:val="0"/>
              <w:kinsoku/>
              <w:wordWrap w:val="0"/>
              <w:overflowPunct/>
              <w:topLinePunct/>
              <w:autoSpaceDE/>
              <w:autoSpaceDN/>
              <w:bidi w:val="0"/>
              <w:adjustRightInd w:val="0"/>
              <w:snapToGrid w:val="0"/>
              <w:ind w:left="0" w:leftChars="0" w:right="0" w:rightChars="0"/>
              <w:jc w:val="center"/>
              <w:textAlignment w:val="auto"/>
              <w:rPr>
                <w:rFonts w:hint="eastAsia" w:ascii="宋体" w:hAnsi="宋体" w:eastAsia="宋体" w:cs="宋体"/>
                <w:sz w:val="21"/>
                <w:szCs w:val="21"/>
                <w:highlight w:val="none"/>
                <w:lang w:val="zh-CN" w:eastAsia="zh-CN" w:bidi="zh-CN"/>
              </w:rPr>
            </w:pPr>
          </w:p>
        </w:tc>
        <w:tc>
          <w:tcPr>
            <w:tcW w:w="1008" w:type="dxa"/>
            <w:tcBorders>
              <w:top w:val="outset" w:color="auto" w:sz="6" w:space="0"/>
              <w:left w:val="outset" w:color="auto" w:sz="6" w:space="0"/>
              <w:bottom w:val="outset" w:color="auto" w:sz="6" w:space="0"/>
              <w:right w:val="outset" w:color="auto" w:sz="6" w:space="0"/>
            </w:tcBorders>
            <w:noWrap w:val="0"/>
            <w:vAlign w:val="center"/>
          </w:tcPr>
          <w:p w14:paraId="2F222652">
            <w:pPr>
              <w:keepNext w:val="0"/>
              <w:keepLines w:val="0"/>
              <w:pageBreakBefore w:val="0"/>
              <w:widowControl w:val="0"/>
              <w:kinsoku/>
              <w:wordWrap w:val="0"/>
              <w:overflowPunct/>
              <w:topLinePunct/>
              <w:autoSpaceDE/>
              <w:autoSpaceDN/>
              <w:bidi w:val="0"/>
              <w:adjustRightInd w:val="0"/>
              <w:snapToGrid w:val="0"/>
              <w:ind w:left="0" w:leftChars="0" w:right="0" w:rightChars="0"/>
              <w:jc w:val="center"/>
              <w:textAlignment w:val="auto"/>
              <w:rPr>
                <w:rFonts w:hint="eastAsia" w:ascii="宋体" w:hAnsi="宋体" w:eastAsia="宋体" w:cs="宋体"/>
                <w:sz w:val="21"/>
                <w:szCs w:val="21"/>
                <w:highlight w:val="none"/>
                <w:lang w:val="zh-CN" w:eastAsia="zh-CN" w:bidi="zh-CN"/>
              </w:rPr>
            </w:pPr>
            <w:r>
              <w:rPr>
                <w:rFonts w:hint="eastAsia" w:ascii="宋体" w:hAnsi="宋体" w:eastAsia="宋体" w:cs="宋体"/>
                <w:sz w:val="21"/>
                <w:szCs w:val="21"/>
                <w:highlight w:val="none"/>
                <w:lang w:val="en-US" w:eastAsia="zh-CN" w:bidi="zh-CN"/>
              </w:rPr>
              <w:t>6分</w:t>
            </w:r>
          </w:p>
        </w:tc>
        <w:tc>
          <w:tcPr>
            <w:tcW w:w="6024" w:type="dxa"/>
            <w:tcBorders>
              <w:top w:val="outset" w:color="auto" w:sz="6" w:space="0"/>
              <w:left w:val="outset" w:color="auto" w:sz="6" w:space="0"/>
              <w:bottom w:val="outset" w:color="auto" w:sz="6" w:space="0"/>
              <w:right w:val="outset" w:color="auto" w:sz="6" w:space="0"/>
            </w:tcBorders>
            <w:noWrap w:val="0"/>
            <w:vAlign w:val="center"/>
          </w:tcPr>
          <w:p w14:paraId="0ED9A7CE">
            <w:pPr>
              <w:keepNext w:val="0"/>
              <w:keepLines w:val="0"/>
              <w:pageBreakBefore w:val="0"/>
              <w:widowControl w:val="0"/>
              <w:kinsoku/>
              <w:wordWrap w:val="0"/>
              <w:overflowPunct/>
              <w:topLinePunct/>
              <w:autoSpaceDE/>
              <w:autoSpaceDN/>
              <w:bidi w:val="0"/>
              <w:adjustRightInd w:val="0"/>
              <w:snapToGrid w:val="0"/>
              <w:ind w:left="0" w:leftChars="0" w:right="0" w:rightChars="0"/>
              <w:jc w:val="left"/>
              <w:textAlignment w:val="auto"/>
              <w:rPr>
                <w:rFonts w:hint="eastAsia" w:ascii="宋体" w:hAnsi="宋体" w:eastAsia="宋体" w:cs="宋体"/>
                <w:sz w:val="21"/>
                <w:szCs w:val="21"/>
                <w:highlight w:val="none"/>
                <w:lang w:val="zh-CN" w:eastAsia="zh-CN" w:bidi="zh-CN"/>
              </w:rPr>
            </w:pPr>
            <w:r>
              <w:rPr>
                <w:rFonts w:hint="eastAsia" w:ascii="宋体" w:hAnsi="宋体" w:eastAsia="宋体" w:cs="宋体"/>
                <w:sz w:val="21"/>
                <w:szCs w:val="21"/>
                <w:highlight w:val="none"/>
                <w:lang w:val="en-US" w:eastAsia="zh-CN" w:bidi="zh-CN"/>
              </w:rPr>
              <w:t>针对本项目，供应商编制详细的产品供货实施方案</w:t>
            </w:r>
            <w:r>
              <w:rPr>
                <w:rFonts w:hint="eastAsia" w:ascii="宋体" w:hAnsi="宋体" w:eastAsia="宋体" w:cs="宋体"/>
                <w:sz w:val="21"/>
                <w:szCs w:val="21"/>
                <w:highlight w:val="none"/>
                <w:lang w:val="zh-CN" w:eastAsia="zh-CN" w:bidi="zh-CN"/>
              </w:rPr>
              <w:t>：</w:t>
            </w:r>
          </w:p>
          <w:p w14:paraId="3EE19D81">
            <w:pPr>
              <w:keepNext w:val="0"/>
              <w:keepLines w:val="0"/>
              <w:pageBreakBefore w:val="0"/>
              <w:widowControl w:val="0"/>
              <w:kinsoku/>
              <w:wordWrap w:val="0"/>
              <w:overflowPunct/>
              <w:topLinePunct/>
              <w:autoSpaceDE/>
              <w:autoSpaceDN/>
              <w:bidi w:val="0"/>
              <w:adjustRightInd w:val="0"/>
              <w:snapToGrid w:val="0"/>
              <w:ind w:left="0" w:leftChars="0" w:right="0" w:rightChars="0"/>
              <w:jc w:val="left"/>
              <w:textAlignment w:val="auto"/>
              <w:rPr>
                <w:rFonts w:hint="eastAsia" w:ascii="宋体" w:hAnsi="宋体" w:eastAsia="宋体" w:cs="宋体"/>
                <w:sz w:val="21"/>
                <w:szCs w:val="21"/>
                <w:highlight w:val="none"/>
                <w:lang w:val="en-US" w:eastAsia="zh-CN" w:bidi="zh-CN"/>
              </w:rPr>
            </w:pPr>
            <w:r>
              <w:rPr>
                <w:rFonts w:hint="eastAsia" w:ascii="宋体" w:hAnsi="宋体" w:eastAsia="宋体" w:cs="宋体"/>
                <w:sz w:val="21"/>
                <w:szCs w:val="21"/>
                <w:highlight w:val="none"/>
                <w:lang w:val="en-US" w:eastAsia="zh-CN" w:bidi="zh-CN"/>
              </w:rPr>
              <w:t>1.理解准确，产品供货实施方案完整详细，可行性、实用性、针对性强，得6分；</w:t>
            </w:r>
          </w:p>
          <w:p w14:paraId="6FC60AD0">
            <w:pPr>
              <w:keepNext w:val="0"/>
              <w:keepLines w:val="0"/>
              <w:pageBreakBefore w:val="0"/>
              <w:widowControl w:val="0"/>
              <w:kinsoku/>
              <w:wordWrap w:val="0"/>
              <w:overflowPunct/>
              <w:topLinePunct/>
              <w:autoSpaceDE/>
              <w:autoSpaceDN/>
              <w:bidi w:val="0"/>
              <w:adjustRightInd w:val="0"/>
              <w:snapToGrid w:val="0"/>
              <w:ind w:left="0" w:leftChars="0" w:right="0" w:rightChars="0"/>
              <w:jc w:val="left"/>
              <w:textAlignment w:val="auto"/>
              <w:rPr>
                <w:rFonts w:hint="eastAsia" w:ascii="宋体" w:hAnsi="宋体" w:eastAsia="宋体" w:cs="宋体"/>
                <w:sz w:val="21"/>
                <w:szCs w:val="21"/>
                <w:highlight w:val="none"/>
                <w:lang w:val="en-US" w:eastAsia="zh-CN" w:bidi="zh-CN"/>
              </w:rPr>
            </w:pPr>
            <w:r>
              <w:rPr>
                <w:rFonts w:hint="eastAsia" w:ascii="宋体" w:hAnsi="宋体" w:eastAsia="宋体" w:cs="宋体"/>
                <w:sz w:val="21"/>
                <w:szCs w:val="21"/>
                <w:highlight w:val="none"/>
                <w:lang w:val="en-US" w:eastAsia="zh-CN" w:bidi="zh-CN"/>
              </w:rPr>
              <w:t>2.理解基本准确，产品供货实施方案完整详细，具有可行性、实用性、针对性，得4分；</w:t>
            </w:r>
          </w:p>
          <w:p w14:paraId="6F9737A0">
            <w:pPr>
              <w:keepNext w:val="0"/>
              <w:keepLines w:val="0"/>
              <w:pageBreakBefore w:val="0"/>
              <w:widowControl w:val="0"/>
              <w:kinsoku/>
              <w:wordWrap w:val="0"/>
              <w:overflowPunct/>
              <w:topLinePunct/>
              <w:autoSpaceDE/>
              <w:autoSpaceDN/>
              <w:bidi w:val="0"/>
              <w:adjustRightInd w:val="0"/>
              <w:snapToGrid w:val="0"/>
              <w:ind w:left="0" w:leftChars="0" w:right="0" w:rightChars="0"/>
              <w:jc w:val="left"/>
              <w:textAlignment w:val="auto"/>
              <w:rPr>
                <w:rFonts w:hint="eastAsia" w:ascii="宋体" w:hAnsi="宋体" w:eastAsia="宋体" w:cs="宋体"/>
                <w:sz w:val="21"/>
                <w:szCs w:val="21"/>
                <w:highlight w:val="none"/>
                <w:lang w:val="en-US" w:eastAsia="zh-CN" w:bidi="zh-CN"/>
              </w:rPr>
            </w:pPr>
            <w:r>
              <w:rPr>
                <w:rFonts w:hint="eastAsia" w:ascii="宋体" w:hAnsi="宋体" w:eastAsia="宋体" w:cs="宋体"/>
                <w:sz w:val="21"/>
                <w:szCs w:val="21"/>
                <w:highlight w:val="none"/>
                <w:lang w:val="en-US" w:eastAsia="zh-CN" w:bidi="zh-CN"/>
              </w:rPr>
              <w:t>3.理解有待提升，产品供货实施方案可行性、实用性、针对性有待改善，得2分；</w:t>
            </w:r>
          </w:p>
          <w:p w14:paraId="40495C6F">
            <w:pPr>
              <w:keepNext w:val="0"/>
              <w:keepLines w:val="0"/>
              <w:pageBreakBefore w:val="0"/>
              <w:widowControl w:val="0"/>
              <w:kinsoku/>
              <w:wordWrap w:val="0"/>
              <w:overflowPunct/>
              <w:topLinePunct/>
              <w:autoSpaceDE/>
              <w:autoSpaceDN/>
              <w:bidi w:val="0"/>
              <w:adjustRightInd w:val="0"/>
              <w:snapToGrid w:val="0"/>
              <w:ind w:left="0" w:leftChars="0" w:right="0" w:rightChars="0"/>
              <w:jc w:val="left"/>
              <w:textAlignment w:val="auto"/>
              <w:rPr>
                <w:rFonts w:hint="eastAsia" w:ascii="宋体" w:hAnsi="宋体" w:eastAsia="宋体" w:cs="宋体"/>
                <w:sz w:val="21"/>
                <w:szCs w:val="21"/>
                <w:highlight w:val="none"/>
                <w:lang w:val="en-US" w:eastAsia="zh-CN" w:bidi="zh-CN"/>
              </w:rPr>
            </w:pPr>
            <w:r>
              <w:rPr>
                <w:rFonts w:hint="eastAsia" w:ascii="宋体" w:hAnsi="宋体" w:eastAsia="宋体" w:cs="宋体"/>
                <w:sz w:val="21"/>
                <w:szCs w:val="21"/>
                <w:highlight w:val="none"/>
                <w:lang w:val="en-US" w:eastAsia="zh-CN" w:bidi="zh-CN"/>
              </w:rPr>
              <w:t>4.方案不可行或未提供得0分。</w:t>
            </w:r>
          </w:p>
        </w:tc>
      </w:tr>
      <w:tr w14:paraId="31738E28">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c>
          <w:tcPr>
            <w:tcW w:w="1683" w:type="dxa"/>
            <w:tcBorders>
              <w:top w:val="outset" w:color="auto" w:sz="6" w:space="0"/>
              <w:left w:val="outset" w:color="auto" w:sz="6" w:space="0"/>
              <w:bottom w:val="outset" w:color="auto" w:sz="6" w:space="0"/>
              <w:right w:val="outset" w:color="auto" w:sz="6" w:space="0"/>
            </w:tcBorders>
            <w:noWrap w:val="0"/>
            <w:vAlign w:val="center"/>
          </w:tcPr>
          <w:p w14:paraId="3F3B4779">
            <w:pPr>
              <w:keepNext w:val="0"/>
              <w:keepLines w:val="0"/>
              <w:pageBreakBefore w:val="0"/>
              <w:widowControl w:val="0"/>
              <w:kinsoku/>
              <w:wordWrap w:val="0"/>
              <w:overflowPunct/>
              <w:topLinePunct/>
              <w:autoSpaceDE/>
              <w:autoSpaceDN/>
              <w:bidi w:val="0"/>
              <w:adjustRightInd w:val="0"/>
              <w:snapToGrid w:val="0"/>
              <w:ind w:left="0" w:leftChars="0" w:right="0" w:rightChars="0"/>
              <w:jc w:val="center"/>
              <w:textAlignment w:val="auto"/>
              <w:rPr>
                <w:rFonts w:hint="eastAsia" w:ascii="宋体" w:hAnsi="宋体" w:eastAsia="宋体" w:cs="宋体"/>
                <w:sz w:val="21"/>
                <w:szCs w:val="21"/>
                <w:highlight w:val="none"/>
                <w:lang w:val="en-US" w:eastAsia="zh-CN" w:bidi="zh-CN"/>
              </w:rPr>
            </w:pPr>
            <w:r>
              <w:rPr>
                <w:rFonts w:hint="eastAsia" w:ascii="宋体" w:hAnsi="宋体" w:eastAsia="宋体" w:cs="宋体"/>
                <w:sz w:val="21"/>
                <w:szCs w:val="21"/>
                <w:highlight w:val="none"/>
                <w:lang w:val="en-US" w:eastAsia="zh-CN" w:bidi="zh-CN"/>
              </w:rPr>
              <w:t>售后服务方案</w:t>
            </w:r>
          </w:p>
          <w:p w14:paraId="1DF57418">
            <w:pPr>
              <w:keepNext w:val="0"/>
              <w:keepLines w:val="0"/>
              <w:pageBreakBefore w:val="0"/>
              <w:widowControl w:val="0"/>
              <w:kinsoku/>
              <w:wordWrap w:val="0"/>
              <w:overflowPunct/>
              <w:topLinePunct/>
              <w:autoSpaceDE/>
              <w:autoSpaceDN/>
              <w:bidi w:val="0"/>
              <w:adjustRightInd w:val="0"/>
              <w:snapToGrid w:val="0"/>
              <w:ind w:left="0" w:leftChars="0" w:right="0" w:rightChars="0"/>
              <w:jc w:val="center"/>
              <w:textAlignment w:val="auto"/>
              <w:rPr>
                <w:rFonts w:hint="eastAsia" w:ascii="宋体" w:hAnsi="宋体" w:eastAsia="宋体" w:cs="宋体"/>
                <w:sz w:val="21"/>
                <w:szCs w:val="21"/>
                <w:highlight w:val="none"/>
                <w:lang w:val="en-US" w:eastAsia="zh-CN" w:bidi="zh-CN"/>
              </w:rPr>
            </w:pPr>
          </w:p>
        </w:tc>
        <w:tc>
          <w:tcPr>
            <w:tcW w:w="1008" w:type="dxa"/>
            <w:tcBorders>
              <w:top w:val="outset" w:color="auto" w:sz="6" w:space="0"/>
              <w:left w:val="outset" w:color="auto" w:sz="6" w:space="0"/>
              <w:bottom w:val="outset" w:color="auto" w:sz="6" w:space="0"/>
              <w:right w:val="outset" w:color="auto" w:sz="6" w:space="0"/>
            </w:tcBorders>
            <w:noWrap w:val="0"/>
            <w:vAlign w:val="center"/>
          </w:tcPr>
          <w:p w14:paraId="1660C0E1">
            <w:pPr>
              <w:keepNext w:val="0"/>
              <w:keepLines w:val="0"/>
              <w:pageBreakBefore w:val="0"/>
              <w:widowControl w:val="0"/>
              <w:kinsoku/>
              <w:wordWrap w:val="0"/>
              <w:overflowPunct/>
              <w:topLinePunct/>
              <w:autoSpaceDE/>
              <w:autoSpaceDN/>
              <w:bidi w:val="0"/>
              <w:adjustRightInd w:val="0"/>
              <w:snapToGrid w:val="0"/>
              <w:ind w:left="0" w:leftChars="0" w:right="0" w:rightChars="0"/>
              <w:jc w:val="center"/>
              <w:textAlignment w:val="auto"/>
              <w:rPr>
                <w:rFonts w:hint="eastAsia" w:ascii="宋体" w:hAnsi="宋体" w:eastAsia="宋体" w:cs="宋体"/>
                <w:sz w:val="21"/>
                <w:szCs w:val="21"/>
                <w:highlight w:val="none"/>
                <w:lang w:val="en-US" w:eastAsia="zh-CN" w:bidi="zh-CN"/>
              </w:rPr>
            </w:pPr>
            <w:r>
              <w:rPr>
                <w:rFonts w:hint="eastAsia" w:ascii="宋体" w:hAnsi="宋体" w:eastAsia="宋体" w:cs="宋体"/>
                <w:sz w:val="21"/>
                <w:szCs w:val="21"/>
                <w:highlight w:val="none"/>
                <w:lang w:val="en-US" w:eastAsia="zh-CN" w:bidi="zh-CN"/>
              </w:rPr>
              <w:t>6分</w:t>
            </w:r>
          </w:p>
        </w:tc>
        <w:tc>
          <w:tcPr>
            <w:tcW w:w="6024" w:type="dxa"/>
            <w:tcBorders>
              <w:top w:val="outset" w:color="auto" w:sz="6" w:space="0"/>
              <w:left w:val="outset" w:color="auto" w:sz="6" w:space="0"/>
              <w:bottom w:val="outset" w:color="auto" w:sz="6" w:space="0"/>
              <w:right w:val="outset" w:color="auto" w:sz="6" w:space="0"/>
            </w:tcBorders>
            <w:noWrap w:val="0"/>
            <w:vAlign w:val="center"/>
          </w:tcPr>
          <w:p w14:paraId="4301EE39">
            <w:pPr>
              <w:keepNext w:val="0"/>
              <w:keepLines w:val="0"/>
              <w:pageBreakBefore w:val="0"/>
              <w:widowControl w:val="0"/>
              <w:kinsoku/>
              <w:wordWrap w:val="0"/>
              <w:overflowPunct/>
              <w:topLinePunct/>
              <w:autoSpaceDE/>
              <w:autoSpaceDN/>
              <w:bidi w:val="0"/>
              <w:adjustRightInd w:val="0"/>
              <w:snapToGrid w:val="0"/>
              <w:ind w:left="0" w:leftChars="0" w:right="0" w:rightChars="0"/>
              <w:jc w:val="left"/>
              <w:textAlignment w:val="auto"/>
              <w:rPr>
                <w:rFonts w:hint="eastAsia" w:ascii="宋体" w:hAnsi="宋体" w:eastAsia="宋体" w:cs="宋体"/>
                <w:sz w:val="21"/>
                <w:szCs w:val="21"/>
                <w:highlight w:val="none"/>
                <w:lang w:val="en-US" w:eastAsia="zh-CN" w:bidi="zh-CN"/>
              </w:rPr>
            </w:pPr>
            <w:r>
              <w:rPr>
                <w:rFonts w:hint="eastAsia" w:ascii="宋体" w:hAnsi="宋体" w:eastAsia="宋体" w:cs="宋体"/>
                <w:sz w:val="21"/>
                <w:szCs w:val="21"/>
                <w:highlight w:val="none"/>
                <w:lang w:val="en-US" w:eastAsia="zh-CN" w:bidi="zh-CN"/>
              </w:rPr>
              <w:t xml:space="preserve">根据投标文件中提供的售后服务方案进行综合评分： </w:t>
            </w:r>
          </w:p>
          <w:p w14:paraId="155848EA">
            <w:pPr>
              <w:keepNext w:val="0"/>
              <w:keepLines w:val="0"/>
              <w:pageBreakBefore w:val="0"/>
              <w:widowControl w:val="0"/>
              <w:kinsoku/>
              <w:wordWrap w:val="0"/>
              <w:overflowPunct/>
              <w:topLinePunct/>
              <w:autoSpaceDE/>
              <w:autoSpaceDN/>
              <w:bidi w:val="0"/>
              <w:adjustRightInd w:val="0"/>
              <w:snapToGrid w:val="0"/>
              <w:ind w:left="0" w:leftChars="0" w:right="0" w:rightChars="0"/>
              <w:jc w:val="left"/>
              <w:textAlignment w:val="auto"/>
              <w:rPr>
                <w:rFonts w:hint="eastAsia" w:ascii="宋体" w:hAnsi="宋体" w:eastAsia="宋体" w:cs="宋体"/>
                <w:sz w:val="21"/>
                <w:szCs w:val="21"/>
                <w:highlight w:val="none"/>
                <w:lang w:val="en-US" w:eastAsia="zh-CN" w:bidi="zh-CN"/>
              </w:rPr>
            </w:pPr>
            <w:r>
              <w:rPr>
                <w:rFonts w:hint="eastAsia" w:ascii="宋体" w:hAnsi="宋体" w:eastAsia="宋体" w:cs="宋体"/>
                <w:sz w:val="21"/>
                <w:szCs w:val="21"/>
                <w:highlight w:val="none"/>
                <w:lang w:val="en-US" w:eastAsia="zh-CN" w:bidi="zh-CN"/>
              </w:rPr>
              <w:t xml:space="preserve">有明确的“售后服务方案”，方案中应包括保修内容与范围、维修响应时间等。 </w:t>
            </w:r>
          </w:p>
          <w:p w14:paraId="50D58E24">
            <w:pPr>
              <w:keepNext w:val="0"/>
              <w:keepLines w:val="0"/>
              <w:pageBreakBefore w:val="0"/>
              <w:widowControl w:val="0"/>
              <w:kinsoku/>
              <w:wordWrap w:val="0"/>
              <w:overflowPunct/>
              <w:topLinePunct/>
              <w:autoSpaceDE/>
              <w:autoSpaceDN/>
              <w:bidi w:val="0"/>
              <w:adjustRightInd w:val="0"/>
              <w:snapToGrid w:val="0"/>
              <w:ind w:left="0" w:leftChars="0" w:right="0" w:rightChars="0"/>
              <w:jc w:val="left"/>
              <w:textAlignment w:val="auto"/>
              <w:rPr>
                <w:rFonts w:hint="eastAsia" w:ascii="宋体" w:hAnsi="宋体" w:eastAsia="宋体" w:cs="宋体"/>
                <w:sz w:val="21"/>
                <w:szCs w:val="21"/>
                <w:highlight w:val="none"/>
                <w:lang w:val="en-US" w:eastAsia="zh-CN" w:bidi="zh-CN"/>
              </w:rPr>
            </w:pPr>
            <w:r>
              <w:rPr>
                <w:rFonts w:hint="eastAsia" w:ascii="宋体" w:hAnsi="宋体" w:eastAsia="宋体" w:cs="宋体"/>
                <w:sz w:val="21"/>
                <w:szCs w:val="21"/>
                <w:highlight w:val="none"/>
                <w:lang w:val="en-US" w:eastAsia="zh-CN" w:bidi="zh-CN"/>
              </w:rPr>
              <w:t xml:space="preserve">1.售后服务方案详细完整、内容全面、具有可操作性的，得6分； </w:t>
            </w:r>
          </w:p>
          <w:p w14:paraId="04414C4B">
            <w:pPr>
              <w:keepNext w:val="0"/>
              <w:keepLines w:val="0"/>
              <w:pageBreakBefore w:val="0"/>
              <w:widowControl w:val="0"/>
              <w:kinsoku/>
              <w:wordWrap w:val="0"/>
              <w:overflowPunct/>
              <w:topLinePunct/>
              <w:autoSpaceDE/>
              <w:autoSpaceDN/>
              <w:bidi w:val="0"/>
              <w:adjustRightInd w:val="0"/>
              <w:snapToGrid w:val="0"/>
              <w:ind w:left="0" w:leftChars="0" w:right="0" w:rightChars="0"/>
              <w:jc w:val="left"/>
              <w:textAlignment w:val="auto"/>
              <w:rPr>
                <w:rFonts w:hint="eastAsia" w:ascii="宋体" w:hAnsi="宋体" w:eastAsia="宋体" w:cs="宋体"/>
                <w:sz w:val="21"/>
                <w:szCs w:val="21"/>
                <w:highlight w:val="none"/>
                <w:lang w:val="en-US" w:eastAsia="zh-CN" w:bidi="zh-CN"/>
              </w:rPr>
            </w:pPr>
            <w:r>
              <w:rPr>
                <w:rFonts w:hint="eastAsia" w:ascii="宋体" w:hAnsi="宋体" w:eastAsia="宋体" w:cs="宋体"/>
                <w:sz w:val="21"/>
                <w:szCs w:val="21"/>
                <w:highlight w:val="none"/>
                <w:lang w:val="en-US" w:eastAsia="zh-CN" w:bidi="zh-CN"/>
              </w:rPr>
              <w:t xml:space="preserve">2.售后服务方案基本完整且能满足需要的，得4分； </w:t>
            </w:r>
          </w:p>
          <w:p w14:paraId="4F96DF04">
            <w:pPr>
              <w:keepNext w:val="0"/>
              <w:keepLines w:val="0"/>
              <w:pageBreakBefore w:val="0"/>
              <w:widowControl w:val="0"/>
              <w:kinsoku/>
              <w:wordWrap w:val="0"/>
              <w:overflowPunct/>
              <w:topLinePunct/>
              <w:autoSpaceDE/>
              <w:autoSpaceDN/>
              <w:bidi w:val="0"/>
              <w:adjustRightInd w:val="0"/>
              <w:snapToGrid w:val="0"/>
              <w:ind w:left="0" w:leftChars="0" w:right="0" w:rightChars="0"/>
              <w:jc w:val="left"/>
              <w:textAlignment w:val="auto"/>
              <w:rPr>
                <w:rFonts w:hint="eastAsia" w:ascii="宋体" w:hAnsi="宋体" w:eastAsia="宋体" w:cs="宋体"/>
                <w:sz w:val="21"/>
                <w:szCs w:val="21"/>
                <w:highlight w:val="none"/>
                <w:lang w:val="en-US" w:eastAsia="zh-CN" w:bidi="zh-CN"/>
              </w:rPr>
            </w:pPr>
            <w:r>
              <w:rPr>
                <w:rFonts w:hint="eastAsia" w:ascii="宋体" w:hAnsi="宋体" w:eastAsia="宋体" w:cs="宋体"/>
                <w:sz w:val="21"/>
                <w:szCs w:val="21"/>
                <w:highlight w:val="none"/>
                <w:lang w:val="en-US" w:eastAsia="zh-CN" w:bidi="zh-CN"/>
              </w:rPr>
              <w:t xml:space="preserve">3.售后服务方案不完整但能基本满足需要的，得2分； </w:t>
            </w:r>
          </w:p>
          <w:p w14:paraId="0FA17739">
            <w:pPr>
              <w:keepNext w:val="0"/>
              <w:keepLines w:val="0"/>
              <w:pageBreakBefore w:val="0"/>
              <w:widowControl w:val="0"/>
              <w:kinsoku/>
              <w:wordWrap w:val="0"/>
              <w:overflowPunct/>
              <w:topLinePunct/>
              <w:autoSpaceDE/>
              <w:autoSpaceDN/>
              <w:bidi w:val="0"/>
              <w:adjustRightInd w:val="0"/>
              <w:snapToGrid w:val="0"/>
              <w:ind w:left="0" w:leftChars="0" w:right="0" w:rightChars="0"/>
              <w:jc w:val="left"/>
              <w:textAlignment w:val="auto"/>
              <w:rPr>
                <w:rFonts w:hint="eastAsia" w:ascii="宋体" w:hAnsi="宋体" w:eastAsia="宋体" w:cs="宋体"/>
                <w:sz w:val="21"/>
                <w:szCs w:val="21"/>
                <w:highlight w:val="none"/>
                <w:lang w:val="zh-CN" w:eastAsia="zh-CN" w:bidi="zh-CN"/>
              </w:rPr>
            </w:pPr>
            <w:r>
              <w:rPr>
                <w:rFonts w:hint="eastAsia" w:ascii="宋体" w:hAnsi="宋体" w:eastAsia="宋体" w:cs="宋体"/>
                <w:sz w:val="21"/>
                <w:szCs w:val="21"/>
                <w:highlight w:val="none"/>
                <w:lang w:val="en-US" w:eastAsia="zh-CN" w:bidi="zh-CN"/>
              </w:rPr>
              <w:t>4.方案不可行或未提供得0分。</w:t>
            </w:r>
          </w:p>
        </w:tc>
      </w:tr>
      <w:tr w14:paraId="5BD427D9">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c>
          <w:tcPr>
            <w:tcW w:w="1683" w:type="dxa"/>
            <w:tcBorders>
              <w:top w:val="outset" w:color="auto" w:sz="6" w:space="0"/>
              <w:left w:val="outset" w:color="auto" w:sz="6" w:space="0"/>
              <w:bottom w:val="outset" w:color="auto" w:sz="6" w:space="0"/>
              <w:right w:val="outset" w:color="auto" w:sz="6" w:space="0"/>
            </w:tcBorders>
            <w:noWrap w:val="0"/>
            <w:vAlign w:val="center"/>
          </w:tcPr>
          <w:p w14:paraId="7DC887DC">
            <w:pPr>
              <w:keepNext w:val="0"/>
              <w:keepLines w:val="0"/>
              <w:pageBreakBefore w:val="0"/>
              <w:widowControl w:val="0"/>
              <w:kinsoku/>
              <w:wordWrap w:val="0"/>
              <w:overflowPunct/>
              <w:topLinePunct/>
              <w:autoSpaceDE/>
              <w:autoSpaceDN/>
              <w:bidi w:val="0"/>
              <w:adjustRightInd w:val="0"/>
              <w:snapToGrid w:val="0"/>
              <w:ind w:left="0" w:leftChars="0" w:right="0" w:rightChars="0"/>
              <w:jc w:val="center"/>
              <w:textAlignment w:val="auto"/>
              <w:rPr>
                <w:rFonts w:hint="eastAsia" w:ascii="宋体" w:hAnsi="宋体" w:eastAsia="宋体" w:cs="宋体"/>
                <w:sz w:val="21"/>
                <w:szCs w:val="21"/>
                <w:highlight w:val="none"/>
                <w:lang w:val="zh-CN" w:eastAsia="zh-CN" w:bidi="zh-CN"/>
              </w:rPr>
            </w:pPr>
            <w:r>
              <w:rPr>
                <w:rFonts w:hint="eastAsia" w:ascii="宋体" w:hAnsi="宋体" w:eastAsia="宋体" w:cs="宋体"/>
                <w:sz w:val="21"/>
                <w:szCs w:val="21"/>
                <w:highlight w:val="none"/>
                <w:lang w:val="en-US" w:eastAsia="zh-CN" w:bidi="zh-CN"/>
              </w:rPr>
              <w:t>使用成本方案</w:t>
            </w:r>
          </w:p>
          <w:p w14:paraId="27913F18">
            <w:pPr>
              <w:keepNext w:val="0"/>
              <w:keepLines w:val="0"/>
              <w:pageBreakBefore w:val="0"/>
              <w:widowControl w:val="0"/>
              <w:kinsoku/>
              <w:wordWrap w:val="0"/>
              <w:overflowPunct/>
              <w:topLinePunct/>
              <w:autoSpaceDE/>
              <w:autoSpaceDN/>
              <w:bidi w:val="0"/>
              <w:adjustRightInd w:val="0"/>
              <w:snapToGrid w:val="0"/>
              <w:ind w:left="0" w:leftChars="0" w:right="0" w:rightChars="0"/>
              <w:jc w:val="center"/>
              <w:textAlignment w:val="auto"/>
              <w:rPr>
                <w:rFonts w:hint="eastAsia" w:ascii="宋体" w:hAnsi="宋体" w:eastAsia="宋体" w:cs="宋体"/>
                <w:sz w:val="21"/>
                <w:szCs w:val="21"/>
                <w:highlight w:val="none"/>
                <w:lang w:val="zh-CN" w:eastAsia="zh-CN" w:bidi="zh-CN"/>
              </w:rPr>
            </w:pPr>
          </w:p>
        </w:tc>
        <w:tc>
          <w:tcPr>
            <w:tcW w:w="1008" w:type="dxa"/>
            <w:tcBorders>
              <w:top w:val="outset" w:color="auto" w:sz="6" w:space="0"/>
              <w:left w:val="outset" w:color="auto" w:sz="6" w:space="0"/>
              <w:bottom w:val="outset" w:color="auto" w:sz="6" w:space="0"/>
              <w:right w:val="outset" w:color="auto" w:sz="6" w:space="0"/>
            </w:tcBorders>
            <w:noWrap w:val="0"/>
            <w:vAlign w:val="center"/>
          </w:tcPr>
          <w:p w14:paraId="7970E572">
            <w:pPr>
              <w:keepNext w:val="0"/>
              <w:keepLines w:val="0"/>
              <w:pageBreakBefore w:val="0"/>
              <w:widowControl w:val="0"/>
              <w:kinsoku/>
              <w:wordWrap w:val="0"/>
              <w:overflowPunct/>
              <w:topLinePunct/>
              <w:autoSpaceDE/>
              <w:autoSpaceDN/>
              <w:bidi w:val="0"/>
              <w:adjustRightInd w:val="0"/>
              <w:snapToGrid w:val="0"/>
              <w:ind w:left="0" w:leftChars="0" w:right="0" w:rightChars="0"/>
              <w:jc w:val="center"/>
              <w:textAlignment w:val="auto"/>
              <w:rPr>
                <w:rFonts w:hint="eastAsia" w:ascii="宋体" w:hAnsi="宋体" w:eastAsia="宋体" w:cs="宋体"/>
                <w:sz w:val="21"/>
                <w:szCs w:val="21"/>
                <w:highlight w:val="none"/>
                <w:lang w:val="en-US" w:eastAsia="zh-CN" w:bidi="zh-CN"/>
              </w:rPr>
            </w:pPr>
            <w:r>
              <w:rPr>
                <w:rFonts w:hint="eastAsia" w:ascii="宋体" w:hAnsi="宋体" w:eastAsia="宋体" w:cs="宋体"/>
                <w:sz w:val="21"/>
                <w:szCs w:val="21"/>
                <w:highlight w:val="none"/>
                <w:lang w:val="en-US" w:eastAsia="zh-CN" w:bidi="zh-CN"/>
              </w:rPr>
              <w:t>6分</w:t>
            </w:r>
          </w:p>
        </w:tc>
        <w:tc>
          <w:tcPr>
            <w:tcW w:w="6024" w:type="dxa"/>
            <w:tcBorders>
              <w:top w:val="outset" w:color="auto" w:sz="6" w:space="0"/>
              <w:left w:val="outset" w:color="auto" w:sz="6" w:space="0"/>
              <w:bottom w:val="outset" w:color="auto" w:sz="6" w:space="0"/>
              <w:right w:val="outset" w:color="auto" w:sz="6" w:space="0"/>
            </w:tcBorders>
            <w:noWrap w:val="0"/>
            <w:vAlign w:val="center"/>
          </w:tcPr>
          <w:p w14:paraId="2A8950AF">
            <w:pPr>
              <w:keepNext w:val="0"/>
              <w:keepLines w:val="0"/>
              <w:pageBreakBefore w:val="0"/>
              <w:widowControl w:val="0"/>
              <w:kinsoku/>
              <w:wordWrap w:val="0"/>
              <w:overflowPunct/>
              <w:topLinePunct/>
              <w:autoSpaceDE/>
              <w:autoSpaceDN/>
              <w:bidi w:val="0"/>
              <w:adjustRightInd w:val="0"/>
              <w:snapToGrid w:val="0"/>
              <w:ind w:left="0" w:leftChars="0" w:right="0" w:rightChars="0"/>
              <w:jc w:val="left"/>
              <w:textAlignment w:val="auto"/>
              <w:rPr>
                <w:rFonts w:hint="eastAsia" w:ascii="宋体" w:hAnsi="宋体" w:eastAsia="宋体" w:cs="宋体"/>
                <w:sz w:val="21"/>
                <w:szCs w:val="21"/>
                <w:highlight w:val="none"/>
                <w:lang w:val="zh-CN" w:eastAsia="zh-CN" w:bidi="zh-CN"/>
              </w:rPr>
            </w:pPr>
            <w:r>
              <w:rPr>
                <w:rFonts w:hint="eastAsia" w:ascii="宋体" w:hAnsi="宋体" w:eastAsia="宋体" w:cs="宋体"/>
                <w:sz w:val="21"/>
                <w:szCs w:val="21"/>
                <w:highlight w:val="none"/>
                <w:lang w:val="en-US" w:eastAsia="zh-CN" w:bidi="zh-CN"/>
              </w:rPr>
              <w:t>供应商提供详细的有针对性的使用成本方案等有利于用户的方案：</w:t>
            </w:r>
          </w:p>
          <w:p w14:paraId="7D04AEF9">
            <w:pPr>
              <w:keepNext w:val="0"/>
              <w:keepLines w:val="0"/>
              <w:pageBreakBefore w:val="0"/>
              <w:widowControl w:val="0"/>
              <w:kinsoku/>
              <w:wordWrap w:val="0"/>
              <w:overflowPunct/>
              <w:topLinePunct/>
              <w:autoSpaceDE/>
              <w:autoSpaceDN/>
              <w:bidi w:val="0"/>
              <w:adjustRightInd w:val="0"/>
              <w:snapToGrid w:val="0"/>
              <w:ind w:left="0" w:leftChars="0" w:right="0" w:rightChars="0"/>
              <w:jc w:val="left"/>
              <w:textAlignment w:val="auto"/>
              <w:rPr>
                <w:rFonts w:hint="eastAsia" w:ascii="宋体" w:hAnsi="宋体" w:eastAsia="宋体" w:cs="宋体"/>
                <w:sz w:val="21"/>
                <w:szCs w:val="21"/>
                <w:highlight w:val="none"/>
                <w:lang w:val="zh-CN" w:eastAsia="zh-CN" w:bidi="zh-CN"/>
              </w:rPr>
            </w:pPr>
            <w:r>
              <w:rPr>
                <w:rFonts w:hint="eastAsia" w:ascii="宋体" w:hAnsi="宋体" w:eastAsia="宋体" w:cs="宋体"/>
                <w:sz w:val="21"/>
                <w:szCs w:val="21"/>
                <w:highlight w:val="none"/>
                <w:lang w:val="en-US" w:eastAsia="zh-CN" w:bidi="zh-CN"/>
              </w:rPr>
              <w:t>1.方案内容全面详细，有完善的保障措施，建立和落实完整的成本控制方案的，得6分；</w:t>
            </w:r>
          </w:p>
          <w:p w14:paraId="71E7F962">
            <w:pPr>
              <w:keepNext w:val="0"/>
              <w:keepLines w:val="0"/>
              <w:pageBreakBefore w:val="0"/>
              <w:widowControl w:val="0"/>
              <w:kinsoku/>
              <w:wordWrap w:val="0"/>
              <w:overflowPunct/>
              <w:topLinePunct/>
              <w:autoSpaceDE/>
              <w:autoSpaceDN/>
              <w:bidi w:val="0"/>
              <w:adjustRightInd w:val="0"/>
              <w:snapToGrid w:val="0"/>
              <w:ind w:left="0" w:leftChars="0" w:right="0" w:rightChars="0"/>
              <w:jc w:val="left"/>
              <w:textAlignment w:val="auto"/>
              <w:rPr>
                <w:rFonts w:hint="eastAsia" w:ascii="宋体" w:hAnsi="宋体" w:eastAsia="宋体" w:cs="宋体"/>
                <w:sz w:val="21"/>
                <w:szCs w:val="21"/>
                <w:highlight w:val="none"/>
                <w:lang w:val="zh-CN" w:eastAsia="zh-CN" w:bidi="zh-CN"/>
              </w:rPr>
            </w:pPr>
            <w:r>
              <w:rPr>
                <w:rFonts w:hint="eastAsia" w:ascii="宋体" w:hAnsi="宋体" w:eastAsia="宋体" w:cs="宋体"/>
                <w:sz w:val="21"/>
                <w:szCs w:val="21"/>
                <w:highlight w:val="none"/>
                <w:lang w:val="en-US" w:eastAsia="zh-CN" w:bidi="zh-CN"/>
              </w:rPr>
              <w:t>2.方案内容较全面详细，有保障措施，建立了成本控制方案的，得4分；</w:t>
            </w:r>
          </w:p>
          <w:p w14:paraId="4117B200">
            <w:pPr>
              <w:keepNext w:val="0"/>
              <w:keepLines w:val="0"/>
              <w:pageBreakBefore w:val="0"/>
              <w:widowControl w:val="0"/>
              <w:kinsoku/>
              <w:wordWrap w:val="0"/>
              <w:overflowPunct/>
              <w:topLinePunct/>
              <w:autoSpaceDE/>
              <w:autoSpaceDN/>
              <w:bidi w:val="0"/>
              <w:adjustRightInd w:val="0"/>
              <w:snapToGrid w:val="0"/>
              <w:ind w:left="0" w:leftChars="0" w:right="0" w:rightChars="0"/>
              <w:jc w:val="left"/>
              <w:textAlignment w:val="auto"/>
              <w:rPr>
                <w:rFonts w:hint="eastAsia" w:ascii="宋体" w:hAnsi="宋体" w:eastAsia="宋体" w:cs="宋体"/>
                <w:sz w:val="21"/>
                <w:szCs w:val="21"/>
                <w:highlight w:val="none"/>
                <w:lang w:val="zh-CN" w:eastAsia="zh-CN" w:bidi="zh-CN"/>
              </w:rPr>
            </w:pPr>
            <w:r>
              <w:rPr>
                <w:rFonts w:hint="eastAsia" w:ascii="宋体" w:hAnsi="宋体" w:eastAsia="宋体" w:cs="宋体"/>
                <w:sz w:val="21"/>
                <w:szCs w:val="21"/>
                <w:highlight w:val="none"/>
                <w:lang w:val="en-US" w:eastAsia="zh-CN" w:bidi="zh-CN"/>
              </w:rPr>
              <w:t>3.方案内容有基本的保障措施和成本控制方案的，得2分；</w:t>
            </w:r>
          </w:p>
          <w:p w14:paraId="7AE7549E">
            <w:pPr>
              <w:keepNext w:val="0"/>
              <w:keepLines w:val="0"/>
              <w:pageBreakBefore w:val="0"/>
              <w:widowControl w:val="0"/>
              <w:kinsoku/>
              <w:wordWrap w:val="0"/>
              <w:overflowPunct/>
              <w:topLinePunct/>
              <w:autoSpaceDE/>
              <w:autoSpaceDN/>
              <w:bidi w:val="0"/>
              <w:adjustRightInd w:val="0"/>
              <w:snapToGrid w:val="0"/>
              <w:ind w:left="0" w:leftChars="0" w:right="0" w:rightChars="0"/>
              <w:jc w:val="left"/>
              <w:textAlignment w:val="auto"/>
              <w:rPr>
                <w:rFonts w:hint="eastAsia" w:ascii="宋体" w:hAnsi="宋体" w:eastAsia="宋体" w:cs="宋体"/>
                <w:sz w:val="21"/>
                <w:szCs w:val="21"/>
                <w:highlight w:val="none"/>
                <w:lang w:val="zh-CN" w:eastAsia="zh-CN" w:bidi="zh-CN"/>
              </w:rPr>
            </w:pPr>
            <w:r>
              <w:rPr>
                <w:rFonts w:hint="eastAsia" w:ascii="宋体" w:hAnsi="宋体" w:eastAsia="宋体" w:cs="宋体"/>
                <w:sz w:val="21"/>
                <w:szCs w:val="21"/>
                <w:highlight w:val="none"/>
                <w:lang w:val="en-US" w:eastAsia="zh-CN" w:bidi="zh-CN"/>
              </w:rPr>
              <w:t>4.方案不可行或者未提供得 0 分</w:t>
            </w:r>
          </w:p>
        </w:tc>
      </w:tr>
      <w:tr w14:paraId="70DAF99B">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c>
          <w:tcPr>
            <w:tcW w:w="1683" w:type="dxa"/>
            <w:tcBorders>
              <w:top w:val="outset" w:color="auto" w:sz="6" w:space="0"/>
              <w:left w:val="outset" w:color="auto" w:sz="6" w:space="0"/>
              <w:bottom w:val="outset" w:color="auto" w:sz="6" w:space="0"/>
              <w:right w:val="outset" w:color="auto" w:sz="6" w:space="0"/>
            </w:tcBorders>
            <w:noWrap w:val="0"/>
            <w:vAlign w:val="center"/>
          </w:tcPr>
          <w:p w14:paraId="54B81A28">
            <w:pPr>
              <w:keepNext w:val="0"/>
              <w:keepLines w:val="0"/>
              <w:pageBreakBefore w:val="0"/>
              <w:widowControl w:val="0"/>
              <w:kinsoku/>
              <w:wordWrap w:val="0"/>
              <w:overflowPunct/>
              <w:topLinePunct/>
              <w:autoSpaceDE/>
              <w:autoSpaceDN/>
              <w:bidi w:val="0"/>
              <w:adjustRightInd w:val="0"/>
              <w:snapToGrid w:val="0"/>
              <w:ind w:left="0" w:leftChars="0" w:right="0" w:rightChars="0"/>
              <w:jc w:val="center"/>
              <w:textAlignment w:val="auto"/>
              <w:rPr>
                <w:rFonts w:hint="eastAsia" w:ascii="宋体" w:hAnsi="宋体" w:eastAsia="宋体" w:cs="宋体"/>
                <w:sz w:val="21"/>
                <w:szCs w:val="21"/>
                <w:highlight w:val="none"/>
                <w:lang w:val="en-US" w:eastAsia="zh-CN" w:bidi="zh-CN"/>
              </w:rPr>
            </w:pPr>
            <w:r>
              <w:rPr>
                <w:rFonts w:hint="eastAsia" w:ascii="宋体" w:hAnsi="宋体" w:eastAsia="宋体" w:cs="宋体"/>
                <w:sz w:val="21"/>
                <w:szCs w:val="21"/>
                <w:highlight w:val="none"/>
                <w:lang w:val="en-US" w:eastAsia="zh-CN" w:bidi="zh-CN"/>
              </w:rPr>
              <w:t>培训方案</w:t>
            </w:r>
          </w:p>
        </w:tc>
        <w:tc>
          <w:tcPr>
            <w:tcW w:w="1008" w:type="dxa"/>
            <w:tcBorders>
              <w:top w:val="outset" w:color="auto" w:sz="6" w:space="0"/>
              <w:left w:val="outset" w:color="auto" w:sz="6" w:space="0"/>
              <w:bottom w:val="outset" w:color="auto" w:sz="6" w:space="0"/>
              <w:right w:val="outset" w:color="auto" w:sz="6" w:space="0"/>
            </w:tcBorders>
            <w:noWrap w:val="0"/>
            <w:vAlign w:val="center"/>
          </w:tcPr>
          <w:p w14:paraId="0DA21C9F">
            <w:pPr>
              <w:keepNext w:val="0"/>
              <w:keepLines w:val="0"/>
              <w:pageBreakBefore w:val="0"/>
              <w:widowControl w:val="0"/>
              <w:kinsoku/>
              <w:wordWrap w:val="0"/>
              <w:overflowPunct/>
              <w:topLinePunct/>
              <w:autoSpaceDE/>
              <w:autoSpaceDN/>
              <w:bidi w:val="0"/>
              <w:adjustRightInd w:val="0"/>
              <w:snapToGrid w:val="0"/>
              <w:ind w:left="0" w:leftChars="0" w:right="0" w:rightChars="0"/>
              <w:jc w:val="center"/>
              <w:textAlignment w:val="auto"/>
              <w:rPr>
                <w:rFonts w:hint="eastAsia" w:ascii="宋体" w:hAnsi="宋体" w:eastAsia="宋体" w:cs="宋体"/>
                <w:sz w:val="21"/>
                <w:szCs w:val="21"/>
                <w:highlight w:val="none"/>
                <w:lang w:val="en-US" w:eastAsia="zh-CN" w:bidi="zh-CN"/>
              </w:rPr>
            </w:pPr>
            <w:r>
              <w:rPr>
                <w:rFonts w:hint="eastAsia" w:ascii="宋体" w:hAnsi="宋体" w:eastAsia="宋体" w:cs="宋体"/>
                <w:sz w:val="21"/>
                <w:szCs w:val="21"/>
                <w:highlight w:val="none"/>
                <w:lang w:val="en-US" w:eastAsia="zh-CN" w:bidi="zh-CN"/>
              </w:rPr>
              <w:t>6分</w:t>
            </w:r>
          </w:p>
        </w:tc>
        <w:tc>
          <w:tcPr>
            <w:tcW w:w="6024" w:type="dxa"/>
            <w:tcBorders>
              <w:top w:val="outset" w:color="auto" w:sz="6" w:space="0"/>
              <w:left w:val="outset" w:color="auto" w:sz="6" w:space="0"/>
              <w:bottom w:val="outset" w:color="auto" w:sz="6" w:space="0"/>
              <w:right w:val="outset" w:color="auto" w:sz="6" w:space="0"/>
            </w:tcBorders>
            <w:noWrap w:val="0"/>
            <w:vAlign w:val="center"/>
          </w:tcPr>
          <w:p w14:paraId="4A5B2AEF">
            <w:pPr>
              <w:keepNext w:val="0"/>
              <w:keepLines w:val="0"/>
              <w:pageBreakBefore w:val="0"/>
              <w:widowControl w:val="0"/>
              <w:kinsoku/>
              <w:wordWrap w:val="0"/>
              <w:overflowPunct/>
              <w:topLinePunct/>
              <w:autoSpaceDE/>
              <w:autoSpaceDN/>
              <w:bidi w:val="0"/>
              <w:adjustRightInd w:val="0"/>
              <w:snapToGrid w:val="0"/>
              <w:ind w:left="0" w:leftChars="0" w:right="0" w:rightChars="0"/>
              <w:jc w:val="left"/>
              <w:textAlignment w:val="auto"/>
              <w:rPr>
                <w:rFonts w:hint="eastAsia" w:ascii="宋体" w:hAnsi="宋体" w:eastAsia="宋体" w:cs="宋体"/>
                <w:sz w:val="21"/>
                <w:szCs w:val="21"/>
                <w:highlight w:val="none"/>
                <w:lang w:val="en-US" w:eastAsia="zh-CN" w:bidi="zh-CN"/>
              </w:rPr>
            </w:pPr>
            <w:r>
              <w:rPr>
                <w:rFonts w:hint="eastAsia" w:ascii="宋体" w:hAnsi="宋体" w:eastAsia="宋体" w:cs="宋体"/>
                <w:sz w:val="21"/>
                <w:szCs w:val="21"/>
                <w:highlight w:val="none"/>
                <w:lang w:val="en-US" w:eastAsia="zh-CN" w:bidi="zh-CN"/>
              </w:rPr>
              <w:t xml:space="preserve">根据投标人提供的培训方案，培训方案应包括培训的时间、地 点、基本操作、保养维修、常见故障及解决办法等进行评审。 </w:t>
            </w:r>
          </w:p>
          <w:p w14:paraId="6F102CF5">
            <w:pPr>
              <w:keepNext w:val="0"/>
              <w:keepLines w:val="0"/>
              <w:pageBreakBefore w:val="0"/>
              <w:widowControl w:val="0"/>
              <w:kinsoku/>
              <w:wordWrap w:val="0"/>
              <w:overflowPunct/>
              <w:topLinePunct/>
              <w:autoSpaceDE/>
              <w:autoSpaceDN/>
              <w:bidi w:val="0"/>
              <w:adjustRightInd w:val="0"/>
              <w:snapToGrid w:val="0"/>
              <w:ind w:left="0" w:leftChars="0" w:right="0" w:rightChars="0"/>
              <w:jc w:val="left"/>
              <w:textAlignment w:val="auto"/>
              <w:rPr>
                <w:rFonts w:hint="eastAsia" w:ascii="宋体" w:hAnsi="宋体" w:eastAsia="宋体" w:cs="宋体"/>
                <w:sz w:val="21"/>
                <w:szCs w:val="21"/>
                <w:highlight w:val="none"/>
                <w:lang w:val="en-US" w:eastAsia="zh-CN" w:bidi="zh-CN"/>
              </w:rPr>
            </w:pPr>
            <w:r>
              <w:rPr>
                <w:rFonts w:hint="eastAsia" w:ascii="宋体" w:hAnsi="宋体" w:eastAsia="宋体" w:cs="宋体"/>
                <w:sz w:val="21"/>
                <w:szCs w:val="21"/>
                <w:highlight w:val="none"/>
                <w:lang w:val="en-US" w:eastAsia="zh-CN" w:bidi="zh-CN"/>
              </w:rPr>
              <w:t xml:space="preserve">1.培训方案详细完整、内容全面、具有可操作性的，得6分； </w:t>
            </w:r>
          </w:p>
          <w:p w14:paraId="09F6C06D">
            <w:pPr>
              <w:keepNext w:val="0"/>
              <w:keepLines w:val="0"/>
              <w:pageBreakBefore w:val="0"/>
              <w:widowControl w:val="0"/>
              <w:kinsoku/>
              <w:wordWrap w:val="0"/>
              <w:overflowPunct/>
              <w:topLinePunct/>
              <w:autoSpaceDE/>
              <w:autoSpaceDN/>
              <w:bidi w:val="0"/>
              <w:adjustRightInd w:val="0"/>
              <w:snapToGrid w:val="0"/>
              <w:ind w:left="0" w:leftChars="0" w:right="0" w:rightChars="0"/>
              <w:jc w:val="left"/>
              <w:textAlignment w:val="auto"/>
              <w:rPr>
                <w:rFonts w:hint="eastAsia" w:ascii="宋体" w:hAnsi="宋体" w:eastAsia="宋体" w:cs="宋体"/>
                <w:sz w:val="21"/>
                <w:szCs w:val="21"/>
                <w:highlight w:val="none"/>
                <w:lang w:val="en-US" w:eastAsia="zh-CN" w:bidi="zh-CN"/>
              </w:rPr>
            </w:pPr>
            <w:r>
              <w:rPr>
                <w:rFonts w:hint="eastAsia" w:ascii="宋体" w:hAnsi="宋体" w:eastAsia="宋体" w:cs="宋体"/>
                <w:sz w:val="21"/>
                <w:szCs w:val="21"/>
                <w:highlight w:val="none"/>
                <w:lang w:val="en-US" w:eastAsia="zh-CN" w:bidi="zh-CN"/>
              </w:rPr>
              <w:t xml:space="preserve">2.培训方案基本完整且能满足需要的，得4分； </w:t>
            </w:r>
          </w:p>
          <w:p w14:paraId="3FC34E5B">
            <w:pPr>
              <w:keepNext w:val="0"/>
              <w:keepLines w:val="0"/>
              <w:pageBreakBefore w:val="0"/>
              <w:widowControl w:val="0"/>
              <w:kinsoku/>
              <w:wordWrap w:val="0"/>
              <w:overflowPunct/>
              <w:topLinePunct/>
              <w:autoSpaceDE/>
              <w:autoSpaceDN/>
              <w:bidi w:val="0"/>
              <w:adjustRightInd w:val="0"/>
              <w:snapToGrid w:val="0"/>
              <w:ind w:left="0" w:leftChars="0" w:right="0" w:rightChars="0"/>
              <w:jc w:val="left"/>
              <w:textAlignment w:val="auto"/>
              <w:rPr>
                <w:rFonts w:hint="eastAsia" w:ascii="宋体" w:hAnsi="宋体" w:eastAsia="宋体" w:cs="宋体"/>
                <w:sz w:val="21"/>
                <w:szCs w:val="21"/>
                <w:highlight w:val="none"/>
                <w:lang w:val="en-US" w:eastAsia="zh-CN" w:bidi="zh-CN"/>
              </w:rPr>
            </w:pPr>
            <w:r>
              <w:rPr>
                <w:rFonts w:hint="eastAsia" w:ascii="宋体" w:hAnsi="宋体" w:eastAsia="宋体" w:cs="宋体"/>
                <w:sz w:val="21"/>
                <w:szCs w:val="21"/>
                <w:highlight w:val="none"/>
                <w:lang w:val="en-US" w:eastAsia="zh-CN" w:bidi="zh-CN"/>
              </w:rPr>
              <w:t xml:space="preserve">3.培训方案不完整但能基本满足需要的，得2分； </w:t>
            </w:r>
          </w:p>
          <w:p w14:paraId="42ECCCA6">
            <w:pPr>
              <w:keepNext w:val="0"/>
              <w:keepLines w:val="0"/>
              <w:pageBreakBefore w:val="0"/>
              <w:widowControl w:val="0"/>
              <w:kinsoku/>
              <w:wordWrap w:val="0"/>
              <w:overflowPunct/>
              <w:topLinePunct/>
              <w:autoSpaceDE/>
              <w:autoSpaceDN/>
              <w:bidi w:val="0"/>
              <w:adjustRightInd w:val="0"/>
              <w:snapToGrid w:val="0"/>
              <w:ind w:left="0" w:leftChars="0" w:right="0" w:rightChars="0"/>
              <w:jc w:val="left"/>
              <w:textAlignment w:val="auto"/>
              <w:rPr>
                <w:rFonts w:hint="eastAsia" w:ascii="宋体" w:hAnsi="宋体" w:eastAsia="宋体" w:cs="宋体"/>
                <w:sz w:val="21"/>
                <w:szCs w:val="21"/>
                <w:highlight w:val="none"/>
                <w:lang w:val="zh-CN" w:eastAsia="zh-CN" w:bidi="zh-CN"/>
              </w:rPr>
            </w:pPr>
            <w:r>
              <w:rPr>
                <w:rFonts w:hint="eastAsia" w:ascii="宋体" w:hAnsi="宋体" w:eastAsia="宋体" w:cs="宋体"/>
                <w:sz w:val="21"/>
                <w:szCs w:val="21"/>
                <w:highlight w:val="none"/>
                <w:lang w:val="en-US" w:eastAsia="zh-CN" w:bidi="zh-CN"/>
              </w:rPr>
              <w:t>4.方案不可行或未提供得0分。</w:t>
            </w:r>
          </w:p>
        </w:tc>
      </w:tr>
      <w:tr w14:paraId="77944F5B">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c>
          <w:tcPr>
            <w:tcW w:w="1683" w:type="dxa"/>
            <w:tcBorders>
              <w:top w:val="outset" w:color="auto" w:sz="6" w:space="0"/>
              <w:left w:val="outset" w:color="auto" w:sz="6" w:space="0"/>
              <w:bottom w:val="outset" w:color="auto" w:sz="6" w:space="0"/>
              <w:right w:val="outset" w:color="auto" w:sz="6" w:space="0"/>
            </w:tcBorders>
            <w:noWrap w:val="0"/>
            <w:vAlign w:val="center"/>
          </w:tcPr>
          <w:p w14:paraId="1F2CAEDD">
            <w:pPr>
              <w:keepNext w:val="0"/>
              <w:keepLines w:val="0"/>
              <w:pageBreakBefore w:val="0"/>
              <w:widowControl w:val="0"/>
              <w:kinsoku/>
              <w:wordWrap w:val="0"/>
              <w:overflowPunct/>
              <w:topLinePunct/>
              <w:autoSpaceDE/>
              <w:autoSpaceDN/>
              <w:bidi w:val="0"/>
              <w:adjustRightInd w:val="0"/>
              <w:snapToGrid w:val="0"/>
              <w:ind w:left="0" w:leftChars="0" w:right="0" w:rightChars="0"/>
              <w:jc w:val="center"/>
              <w:textAlignment w:val="auto"/>
              <w:rPr>
                <w:rFonts w:hint="eastAsia" w:ascii="宋体" w:hAnsi="宋体" w:eastAsia="宋体" w:cs="宋体"/>
                <w:sz w:val="21"/>
                <w:szCs w:val="21"/>
                <w:highlight w:val="none"/>
                <w:lang w:val="en-US" w:eastAsia="zh-CN" w:bidi="zh-CN"/>
              </w:rPr>
            </w:pPr>
            <w:r>
              <w:rPr>
                <w:rFonts w:hint="eastAsia" w:ascii="宋体" w:hAnsi="宋体" w:eastAsia="宋体" w:cs="宋体"/>
                <w:sz w:val="21"/>
                <w:szCs w:val="21"/>
                <w:highlight w:val="none"/>
                <w:lang w:val="en-US" w:eastAsia="zh-CN" w:bidi="zh-CN"/>
              </w:rPr>
              <w:t>产品质量保障措施</w:t>
            </w:r>
          </w:p>
          <w:p w14:paraId="55550779">
            <w:pPr>
              <w:keepNext w:val="0"/>
              <w:keepLines w:val="0"/>
              <w:pageBreakBefore w:val="0"/>
              <w:widowControl w:val="0"/>
              <w:kinsoku/>
              <w:wordWrap w:val="0"/>
              <w:overflowPunct/>
              <w:topLinePunct/>
              <w:autoSpaceDE/>
              <w:autoSpaceDN/>
              <w:bidi w:val="0"/>
              <w:adjustRightInd w:val="0"/>
              <w:snapToGrid w:val="0"/>
              <w:ind w:left="0" w:leftChars="0" w:right="0" w:rightChars="0"/>
              <w:jc w:val="center"/>
              <w:textAlignment w:val="auto"/>
              <w:rPr>
                <w:rFonts w:hint="eastAsia" w:ascii="宋体" w:hAnsi="宋体" w:eastAsia="宋体" w:cs="宋体"/>
                <w:sz w:val="21"/>
                <w:szCs w:val="21"/>
                <w:highlight w:val="none"/>
                <w:lang w:val="zh-CN" w:eastAsia="zh-CN" w:bidi="zh-CN"/>
              </w:rPr>
            </w:pPr>
          </w:p>
        </w:tc>
        <w:tc>
          <w:tcPr>
            <w:tcW w:w="1008" w:type="dxa"/>
            <w:tcBorders>
              <w:top w:val="outset" w:color="auto" w:sz="6" w:space="0"/>
              <w:left w:val="outset" w:color="auto" w:sz="6" w:space="0"/>
              <w:bottom w:val="outset" w:color="auto" w:sz="6" w:space="0"/>
              <w:right w:val="outset" w:color="auto" w:sz="6" w:space="0"/>
            </w:tcBorders>
            <w:noWrap w:val="0"/>
            <w:vAlign w:val="center"/>
          </w:tcPr>
          <w:p w14:paraId="23F52D65">
            <w:pPr>
              <w:keepNext w:val="0"/>
              <w:keepLines w:val="0"/>
              <w:pageBreakBefore w:val="0"/>
              <w:widowControl w:val="0"/>
              <w:kinsoku/>
              <w:wordWrap w:val="0"/>
              <w:overflowPunct/>
              <w:topLinePunct/>
              <w:autoSpaceDE/>
              <w:autoSpaceDN/>
              <w:bidi w:val="0"/>
              <w:adjustRightInd w:val="0"/>
              <w:snapToGrid w:val="0"/>
              <w:ind w:left="0" w:leftChars="0" w:right="0" w:rightChars="0"/>
              <w:jc w:val="center"/>
              <w:textAlignment w:val="auto"/>
              <w:rPr>
                <w:rFonts w:hint="eastAsia" w:ascii="宋体" w:hAnsi="宋体" w:eastAsia="宋体" w:cs="宋体"/>
                <w:sz w:val="21"/>
                <w:szCs w:val="21"/>
                <w:highlight w:val="none"/>
                <w:lang w:val="zh-CN" w:eastAsia="zh-CN" w:bidi="zh-CN"/>
              </w:rPr>
            </w:pPr>
            <w:r>
              <w:rPr>
                <w:rFonts w:hint="eastAsia" w:ascii="宋体" w:hAnsi="宋体" w:eastAsia="宋体" w:cs="宋体"/>
                <w:sz w:val="21"/>
                <w:szCs w:val="21"/>
                <w:highlight w:val="none"/>
                <w:lang w:val="en-US" w:eastAsia="zh-CN" w:bidi="zh-CN"/>
              </w:rPr>
              <w:t>6分</w:t>
            </w:r>
          </w:p>
        </w:tc>
        <w:tc>
          <w:tcPr>
            <w:tcW w:w="6024" w:type="dxa"/>
            <w:tcBorders>
              <w:top w:val="outset" w:color="auto" w:sz="6" w:space="0"/>
              <w:left w:val="outset" w:color="auto" w:sz="6" w:space="0"/>
              <w:bottom w:val="outset" w:color="auto" w:sz="6" w:space="0"/>
              <w:right w:val="outset" w:color="auto" w:sz="6" w:space="0"/>
            </w:tcBorders>
            <w:noWrap w:val="0"/>
            <w:vAlign w:val="center"/>
          </w:tcPr>
          <w:p w14:paraId="22F0C846">
            <w:pPr>
              <w:keepNext w:val="0"/>
              <w:keepLines w:val="0"/>
              <w:pageBreakBefore w:val="0"/>
              <w:widowControl w:val="0"/>
              <w:kinsoku/>
              <w:wordWrap w:val="0"/>
              <w:overflowPunct/>
              <w:topLinePunct/>
              <w:autoSpaceDE/>
              <w:autoSpaceDN/>
              <w:bidi w:val="0"/>
              <w:adjustRightInd w:val="0"/>
              <w:snapToGrid w:val="0"/>
              <w:ind w:left="0" w:leftChars="0" w:right="0" w:rightChars="0"/>
              <w:jc w:val="left"/>
              <w:textAlignment w:val="auto"/>
              <w:rPr>
                <w:rFonts w:hint="eastAsia" w:ascii="宋体" w:hAnsi="宋体" w:eastAsia="宋体" w:cs="宋体"/>
                <w:sz w:val="21"/>
                <w:szCs w:val="21"/>
                <w:highlight w:val="none"/>
                <w:lang w:val="en-US" w:eastAsia="zh-CN" w:bidi="zh-CN"/>
              </w:rPr>
            </w:pPr>
            <w:r>
              <w:rPr>
                <w:rFonts w:hint="eastAsia" w:ascii="宋体" w:hAnsi="宋体" w:eastAsia="宋体" w:cs="宋体"/>
                <w:sz w:val="21"/>
                <w:szCs w:val="21"/>
                <w:highlight w:val="none"/>
                <w:lang w:val="en-US" w:eastAsia="zh-CN" w:bidi="zh-CN"/>
              </w:rPr>
              <w:t xml:space="preserve">根据供应商针对本项目提供的产品质量保障措施进行评分： </w:t>
            </w:r>
          </w:p>
          <w:p w14:paraId="65455987">
            <w:pPr>
              <w:keepNext w:val="0"/>
              <w:keepLines w:val="0"/>
              <w:pageBreakBefore w:val="0"/>
              <w:widowControl w:val="0"/>
              <w:kinsoku/>
              <w:wordWrap w:val="0"/>
              <w:overflowPunct/>
              <w:topLinePunct/>
              <w:autoSpaceDE/>
              <w:autoSpaceDN/>
              <w:bidi w:val="0"/>
              <w:adjustRightInd w:val="0"/>
              <w:snapToGrid w:val="0"/>
              <w:ind w:left="0" w:leftChars="0" w:right="0" w:rightChars="0"/>
              <w:jc w:val="left"/>
              <w:textAlignment w:val="auto"/>
              <w:rPr>
                <w:rFonts w:hint="eastAsia" w:ascii="宋体" w:hAnsi="宋体" w:eastAsia="宋体" w:cs="宋体"/>
                <w:sz w:val="21"/>
                <w:szCs w:val="21"/>
                <w:highlight w:val="none"/>
                <w:lang w:val="en-US" w:eastAsia="zh-CN" w:bidi="zh-CN"/>
              </w:rPr>
            </w:pPr>
            <w:r>
              <w:rPr>
                <w:rFonts w:hint="eastAsia" w:ascii="宋体" w:hAnsi="宋体" w:eastAsia="宋体" w:cs="宋体"/>
                <w:sz w:val="21"/>
                <w:szCs w:val="21"/>
                <w:highlight w:val="none"/>
                <w:lang w:val="en-US" w:eastAsia="zh-CN" w:bidi="zh-CN"/>
              </w:rPr>
              <w:t xml:space="preserve">1.内容完整、详尽细致、可行性强、针对性强的，得6分； </w:t>
            </w:r>
          </w:p>
          <w:p w14:paraId="5BAA3FE4">
            <w:pPr>
              <w:keepNext w:val="0"/>
              <w:keepLines w:val="0"/>
              <w:pageBreakBefore w:val="0"/>
              <w:widowControl w:val="0"/>
              <w:kinsoku/>
              <w:wordWrap w:val="0"/>
              <w:overflowPunct/>
              <w:topLinePunct/>
              <w:autoSpaceDE/>
              <w:autoSpaceDN/>
              <w:bidi w:val="0"/>
              <w:adjustRightInd w:val="0"/>
              <w:snapToGrid w:val="0"/>
              <w:ind w:left="0" w:leftChars="0" w:right="0" w:rightChars="0"/>
              <w:jc w:val="left"/>
              <w:textAlignment w:val="auto"/>
              <w:rPr>
                <w:rFonts w:hint="eastAsia" w:ascii="宋体" w:hAnsi="宋体" w:eastAsia="宋体" w:cs="宋体"/>
                <w:sz w:val="21"/>
                <w:szCs w:val="21"/>
                <w:highlight w:val="none"/>
                <w:lang w:val="en-US" w:eastAsia="zh-CN" w:bidi="zh-CN"/>
              </w:rPr>
            </w:pPr>
            <w:r>
              <w:rPr>
                <w:rFonts w:hint="eastAsia" w:ascii="宋体" w:hAnsi="宋体" w:eastAsia="宋体" w:cs="宋体"/>
                <w:sz w:val="21"/>
                <w:szCs w:val="21"/>
                <w:highlight w:val="none"/>
                <w:lang w:val="en-US" w:eastAsia="zh-CN" w:bidi="zh-CN"/>
              </w:rPr>
              <w:t xml:space="preserve">2.内容完整、可行性和针对性一般的，得4分； </w:t>
            </w:r>
          </w:p>
          <w:p w14:paraId="75B3423F">
            <w:pPr>
              <w:keepNext w:val="0"/>
              <w:keepLines w:val="0"/>
              <w:pageBreakBefore w:val="0"/>
              <w:widowControl w:val="0"/>
              <w:kinsoku/>
              <w:wordWrap w:val="0"/>
              <w:overflowPunct/>
              <w:topLinePunct/>
              <w:autoSpaceDE/>
              <w:autoSpaceDN/>
              <w:bidi w:val="0"/>
              <w:adjustRightInd w:val="0"/>
              <w:snapToGrid w:val="0"/>
              <w:ind w:left="0" w:leftChars="0" w:right="0" w:rightChars="0"/>
              <w:jc w:val="left"/>
              <w:textAlignment w:val="auto"/>
              <w:rPr>
                <w:rFonts w:hint="eastAsia" w:ascii="宋体" w:hAnsi="宋体" w:eastAsia="宋体" w:cs="宋体"/>
                <w:sz w:val="21"/>
                <w:szCs w:val="21"/>
                <w:highlight w:val="none"/>
                <w:lang w:val="en-US" w:eastAsia="zh-CN" w:bidi="zh-CN"/>
              </w:rPr>
            </w:pPr>
            <w:r>
              <w:rPr>
                <w:rFonts w:hint="eastAsia" w:ascii="宋体" w:hAnsi="宋体" w:eastAsia="宋体" w:cs="宋体"/>
                <w:sz w:val="21"/>
                <w:szCs w:val="21"/>
                <w:highlight w:val="none"/>
                <w:lang w:val="en-US" w:eastAsia="zh-CN" w:bidi="zh-CN"/>
              </w:rPr>
              <w:t xml:space="preserve">3.有相应的内容，可行性、针对性有待改善，得2分； </w:t>
            </w:r>
          </w:p>
          <w:p w14:paraId="75D4835B">
            <w:pPr>
              <w:keepNext w:val="0"/>
              <w:keepLines w:val="0"/>
              <w:pageBreakBefore w:val="0"/>
              <w:widowControl w:val="0"/>
              <w:kinsoku/>
              <w:wordWrap w:val="0"/>
              <w:overflowPunct/>
              <w:topLinePunct/>
              <w:autoSpaceDE/>
              <w:autoSpaceDN/>
              <w:bidi w:val="0"/>
              <w:adjustRightInd w:val="0"/>
              <w:snapToGrid w:val="0"/>
              <w:ind w:left="0" w:leftChars="0" w:right="0" w:rightChars="0"/>
              <w:jc w:val="left"/>
              <w:textAlignment w:val="auto"/>
              <w:rPr>
                <w:rFonts w:hint="eastAsia" w:ascii="宋体" w:hAnsi="宋体" w:eastAsia="宋体" w:cs="宋体"/>
                <w:sz w:val="21"/>
                <w:szCs w:val="21"/>
                <w:highlight w:val="none"/>
                <w:lang w:val="en-US" w:eastAsia="zh-CN" w:bidi="zh-CN"/>
              </w:rPr>
            </w:pPr>
            <w:r>
              <w:rPr>
                <w:rFonts w:hint="eastAsia" w:ascii="宋体" w:hAnsi="宋体" w:eastAsia="宋体" w:cs="宋体"/>
                <w:sz w:val="21"/>
                <w:szCs w:val="21"/>
                <w:highlight w:val="none"/>
                <w:lang w:val="en-US" w:eastAsia="zh-CN" w:bidi="zh-CN"/>
              </w:rPr>
              <w:t>4.措施不可行或未提供得0分。</w:t>
            </w:r>
          </w:p>
        </w:tc>
      </w:tr>
      <w:tr w14:paraId="408D6F77">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c>
          <w:tcPr>
            <w:tcW w:w="1683" w:type="dxa"/>
            <w:tcBorders>
              <w:top w:val="outset" w:color="auto" w:sz="6" w:space="0"/>
              <w:left w:val="outset" w:color="auto" w:sz="6" w:space="0"/>
              <w:bottom w:val="outset" w:color="auto" w:sz="6" w:space="0"/>
              <w:right w:val="outset" w:color="auto" w:sz="6" w:space="0"/>
            </w:tcBorders>
            <w:noWrap w:val="0"/>
            <w:vAlign w:val="center"/>
          </w:tcPr>
          <w:p w14:paraId="2B9B0858">
            <w:pPr>
              <w:keepNext w:val="0"/>
              <w:keepLines w:val="0"/>
              <w:pageBreakBefore w:val="0"/>
              <w:widowControl w:val="0"/>
              <w:kinsoku/>
              <w:wordWrap w:val="0"/>
              <w:overflowPunct/>
              <w:topLinePunct/>
              <w:autoSpaceDE/>
              <w:autoSpaceDN/>
              <w:bidi w:val="0"/>
              <w:adjustRightInd w:val="0"/>
              <w:snapToGrid w:val="0"/>
              <w:ind w:left="0" w:leftChars="0" w:right="0" w:rightChars="0"/>
              <w:jc w:val="center"/>
              <w:textAlignment w:val="auto"/>
              <w:rPr>
                <w:rFonts w:hint="eastAsia" w:ascii="宋体" w:hAnsi="宋体" w:eastAsia="宋体" w:cs="宋体"/>
                <w:sz w:val="21"/>
                <w:szCs w:val="21"/>
                <w:highlight w:val="none"/>
                <w:lang w:val="zh-CN" w:eastAsia="zh-CN" w:bidi="zh-CN"/>
              </w:rPr>
            </w:pPr>
            <w:r>
              <w:rPr>
                <w:rFonts w:hint="eastAsia" w:ascii="宋体" w:hAnsi="宋体" w:eastAsia="宋体" w:cs="宋体"/>
                <w:sz w:val="21"/>
                <w:szCs w:val="21"/>
                <w:highlight w:val="none"/>
                <w:lang w:val="en-US" w:eastAsia="zh-CN" w:bidi="zh-CN"/>
              </w:rPr>
              <w:t>产品包装方案</w:t>
            </w:r>
          </w:p>
        </w:tc>
        <w:tc>
          <w:tcPr>
            <w:tcW w:w="1008" w:type="dxa"/>
            <w:tcBorders>
              <w:top w:val="outset" w:color="auto" w:sz="6" w:space="0"/>
              <w:left w:val="outset" w:color="auto" w:sz="6" w:space="0"/>
              <w:bottom w:val="outset" w:color="auto" w:sz="6" w:space="0"/>
              <w:right w:val="outset" w:color="auto" w:sz="6" w:space="0"/>
            </w:tcBorders>
            <w:noWrap w:val="0"/>
            <w:vAlign w:val="center"/>
          </w:tcPr>
          <w:p w14:paraId="7D178AA7">
            <w:pPr>
              <w:keepNext w:val="0"/>
              <w:keepLines w:val="0"/>
              <w:pageBreakBefore w:val="0"/>
              <w:widowControl w:val="0"/>
              <w:kinsoku/>
              <w:wordWrap w:val="0"/>
              <w:overflowPunct/>
              <w:topLinePunct/>
              <w:autoSpaceDE/>
              <w:autoSpaceDN/>
              <w:bidi w:val="0"/>
              <w:adjustRightInd w:val="0"/>
              <w:snapToGrid w:val="0"/>
              <w:ind w:left="0" w:leftChars="0" w:right="0" w:rightChars="0"/>
              <w:jc w:val="center"/>
              <w:textAlignment w:val="auto"/>
              <w:rPr>
                <w:rFonts w:hint="eastAsia" w:ascii="宋体" w:hAnsi="宋体" w:eastAsia="宋体" w:cs="宋体"/>
                <w:sz w:val="21"/>
                <w:szCs w:val="21"/>
                <w:highlight w:val="none"/>
                <w:lang w:val="zh-CN" w:eastAsia="zh-CN" w:bidi="zh-CN"/>
              </w:rPr>
            </w:pPr>
            <w:r>
              <w:rPr>
                <w:rFonts w:hint="eastAsia" w:ascii="宋体" w:hAnsi="宋体" w:eastAsia="宋体" w:cs="宋体"/>
                <w:sz w:val="21"/>
                <w:szCs w:val="21"/>
                <w:highlight w:val="none"/>
                <w:lang w:val="en-US" w:eastAsia="zh-CN" w:bidi="zh-CN"/>
              </w:rPr>
              <w:t>6分</w:t>
            </w:r>
          </w:p>
        </w:tc>
        <w:tc>
          <w:tcPr>
            <w:tcW w:w="6024" w:type="dxa"/>
            <w:tcBorders>
              <w:top w:val="outset" w:color="auto" w:sz="6" w:space="0"/>
              <w:left w:val="outset" w:color="auto" w:sz="6" w:space="0"/>
              <w:bottom w:val="outset" w:color="auto" w:sz="6" w:space="0"/>
              <w:right w:val="outset" w:color="auto" w:sz="6" w:space="0"/>
            </w:tcBorders>
            <w:noWrap w:val="0"/>
            <w:vAlign w:val="center"/>
          </w:tcPr>
          <w:p w14:paraId="4CB36F42">
            <w:pPr>
              <w:keepNext w:val="0"/>
              <w:keepLines w:val="0"/>
              <w:pageBreakBefore w:val="0"/>
              <w:widowControl w:val="0"/>
              <w:kinsoku/>
              <w:wordWrap w:val="0"/>
              <w:overflowPunct/>
              <w:topLinePunct/>
              <w:autoSpaceDE/>
              <w:autoSpaceDN/>
              <w:bidi w:val="0"/>
              <w:adjustRightInd w:val="0"/>
              <w:snapToGrid w:val="0"/>
              <w:ind w:left="0" w:leftChars="0" w:right="0" w:rightChars="0"/>
              <w:jc w:val="left"/>
              <w:textAlignment w:val="auto"/>
              <w:rPr>
                <w:rFonts w:hint="eastAsia" w:ascii="宋体" w:hAnsi="宋体" w:eastAsia="宋体" w:cs="宋体"/>
                <w:sz w:val="21"/>
                <w:szCs w:val="21"/>
                <w:highlight w:val="none"/>
                <w:lang w:val="en-US" w:eastAsia="zh-CN" w:bidi="zh-CN"/>
              </w:rPr>
            </w:pPr>
            <w:r>
              <w:rPr>
                <w:rFonts w:hint="eastAsia" w:ascii="宋体" w:hAnsi="宋体" w:eastAsia="宋体" w:cs="宋体"/>
                <w:sz w:val="21"/>
                <w:szCs w:val="21"/>
                <w:highlight w:val="none"/>
                <w:lang w:val="en-US" w:eastAsia="zh-CN" w:bidi="zh-CN"/>
              </w:rPr>
              <w:t xml:space="preserve">根据供应商针对本项目提供的产品包装方案进行评分： </w:t>
            </w:r>
          </w:p>
          <w:p w14:paraId="6D0CC5D9">
            <w:pPr>
              <w:keepNext w:val="0"/>
              <w:keepLines w:val="0"/>
              <w:pageBreakBefore w:val="0"/>
              <w:widowControl w:val="0"/>
              <w:kinsoku/>
              <w:wordWrap w:val="0"/>
              <w:overflowPunct/>
              <w:topLinePunct/>
              <w:autoSpaceDE/>
              <w:autoSpaceDN/>
              <w:bidi w:val="0"/>
              <w:adjustRightInd w:val="0"/>
              <w:snapToGrid w:val="0"/>
              <w:ind w:left="0" w:leftChars="0" w:right="0" w:rightChars="0"/>
              <w:jc w:val="left"/>
              <w:textAlignment w:val="auto"/>
              <w:rPr>
                <w:rFonts w:hint="eastAsia" w:ascii="宋体" w:hAnsi="宋体" w:eastAsia="宋体" w:cs="宋体"/>
                <w:sz w:val="21"/>
                <w:szCs w:val="21"/>
                <w:highlight w:val="none"/>
                <w:lang w:val="en-US" w:eastAsia="zh-CN" w:bidi="zh-CN"/>
              </w:rPr>
            </w:pPr>
            <w:r>
              <w:rPr>
                <w:rFonts w:hint="eastAsia" w:ascii="宋体" w:hAnsi="宋体" w:eastAsia="宋体" w:cs="宋体"/>
                <w:sz w:val="21"/>
                <w:szCs w:val="21"/>
                <w:highlight w:val="none"/>
                <w:lang w:val="en-US" w:eastAsia="zh-CN" w:bidi="zh-CN"/>
              </w:rPr>
              <w:t xml:space="preserve">1.内容完整、详尽细致、可行性强、针对性强的，得6分； </w:t>
            </w:r>
          </w:p>
          <w:p w14:paraId="1D00B28D">
            <w:pPr>
              <w:keepNext w:val="0"/>
              <w:keepLines w:val="0"/>
              <w:pageBreakBefore w:val="0"/>
              <w:widowControl w:val="0"/>
              <w:kinsoku/>
              <w:wordWrap w:val="0"/>
              <w:overflowPunct/>
              <w:topLinePunct/>
              <w:autoSpaceDE/>
              <w:autoSpaceDN/>
              <w:bidi w:val="0"/>
              <w:adjustRightInd w:val="0"/>
              <w:snapToGrid w:val="0"/>
              <w:ind w:left="0" w:leftChars="0" w:right="0" w:rightChars="0"/>
              <w:jc w:val="left"/>
              <w:textAlignment w:val="auto"/>
              <w:rPr>
                <w:rFonts w:hint="eastAsia" w:ascii="宋体" w:hAnsi="宋体" w:eastAsia="宋体" w:cs="宋体"/>
                <w:sz w:val="21"/>
                <w:szCs w:val="21"/>
                <w:highlight w:val="none"/>
                <w:lang w:val="en-US" w:eastAsia="zh-CN" w:bidi="zh-CN"/>
              </w:rPr>
            </w:pPr>
            <w:r>
              <w:rPr>
                <w:rFonts w:hint="eastAsia" w:ascii="宋体" w:hAnsi="宋体" w:eastAsia="宋体" w:cs="宋体"/>
                <w:sz w:val="21"/>
                <w:szCs w:val="21"/>
                <w:highlight w:val="none"/>
                <w:lang w:val="en-US" w:eastAsia="zh-CN" w:bidi="zh-CN"/>
              </w:rPr>
              <w:t xml:space="preserve">2.内容完整、可行性和针对性一般的，得4分； </w:t>
            </w:r>
          </w:p>
          <w:p w14:paraId="680858C4">
            <w:pPr>
              <w:keepNext w:val="0"/>
              <w:keepLines w:val="0"/>
              <w:pageBreakBefore w:val="0"/>
              <w:widowControl w:val="0"/>
              <w:kinsoku/>
              <w:wordWrap w:val="0"/>
              <w:overflowPunct/>
              <w:topLinePunct/>
              <w:autoSpaceDE/>
              <w:autoSpaceDN/>
              <w:bidi w:val="0"/>
              <w:adjustRightInd w:val="0"/>
              <w:snapToGrid w:val="0"/>
              <w:ind w:left="0" w:leftChars="0" w:right="0" w:rightChars="0"/>
              <w:jc w:val="left"/>
              <w:textAlignment w:val="auto"/>
              <w:rPr>
                <w:rFonts w:hint="eastAsia" w:ascii="宋体" w:hAnsi="宋体" w:eastAsia="宋体" w:cs="宋体"/>
                <w:sz w:val="21"/>
                <w:szCs w:val="21"/>
                <w:highlight w:val="none"/>
                <w:lang w:val="en-US" w:eastAsia="zh-CN" w:bidi="zh-CN"/>
              </w:rPr>
            </w:pPr>
            <w:r>
              <w:rPr>
                <w:rFonts w:hint="eastAsia" w:ascii="宋体" w:hAnsi="宋体" w:eastAsia="宋体" w:cs="宋体"/>
                <w:sz w:val="21"/>
                <w:szCs w:val="21"/>
                <w:highlight w:val="none"/>
                <w:lang w:val="en-US" w:eastAsia="zh-CN" w:bidi="zh-CN"/>
              </w:rPr>
              <w:t xml:space="preserve">3.有相应的内容，可行性、针对性有待改善，得2分； </w:t>
            </w:r>
          </w:p>
          <w:p w14:paraId="36E8249F">
            <w:pPr>
              <w:keepNext w:val="0"/>
              <w:keepLines w:val="0"/>
              <w:pageBreakBefore w:val="0"/>
              <w:widowControl w:val="0"/>
              <w:kinsoku/>
              <w:wordWrap w:val="0"/>
              <w:overflowPunct/>
              <w:topLinePunct/>
              <w:autoSpaceDE/>
              <w:autoSpaceDN/>
              <w:bidi w:val="0"/>
              <w:adjustRightInd w:val="0"/>
              <w:snapToGrid w:val="0"/>
              <w:ind w:left="0" w:leftChars="0" w:right="0" w:rightChars="0"/>
              <w:jc w:val="left"/>
              <w:textAlignment w:val="auto"/>
              <w:rPr>
                <w:rFonts w:hint="eastAsia" w:ascii="宋体" w:hAnsi="宋体" w:eastAsia="宋体" w:cs="宋体"/>
                <w:sz w:val="21"/>
                <w:szCs w:val="21"/>
                <w:highlight w:val="none"/>
                <w:lang w:val="en-US" w:eastAsia="zh-CN" w:bidi="zh-CN"/>
              </w:rPr>
            </w:pPr>
            <w:r>
              <w:rPr>
                <w:rFonts w:hint="eastAsia" w:ascii="宋体" w:hAnsi="宋体" w:eastAsia="宋体" w:cs="宋体"/>
                <w:sz w:val="21"/>
                <w:szCs w:val="21"/>
                <w:highlight w:val="none"/>
                <w:lang w:val="en-US" w:eastAsia="zh-CN" w:bidi="zh-CN"/>
              </w:rPr>
              <w:t>4.措施不可行或未提供得0分。</w:t>
            </w:r>
          </w:p>
        </w:tc>
      </w:tr>
      <w:tr w14:paraId="6DB49C82">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c>
          <w:tcPr>
            <w:tcW w:w="1683" w:type="dxa"/>
            <w:tcBorders>
              <w:top w:val="outset" w:color="auto" w:sz="6" w:space="0"/>
              <w:left w:val="outset" w:color="auto" w:sz="6" w:space="0"/>
              <w:bottom w:val="outset" w:color="auto" w:sz="6" w:space="0"/>
              <w:right w:val="outset" w:color="auto" w:sz="6" w:space="0"/>
            </w:tcBorders>
            <w:noWrap w:val="0"/>
            <w:vAlign w:val="center"/>
          </w:tcPr>
          <w:p w14:paraId="0091DD9A">
            <w:pPr>
              <w:keepNext w:val="0"/>
              <w:keepLines w:val="0"/>
              <w:pageBreakBefore w:val="0"/>
              <w:widowControl w:val="0"/>
              <w:kinsoku/>
              <w:wordWrap w:val="0"/>
              <w:overflowPunct/>
              <w:topLinePunct/>
              <w:autoSpaceDE/>
              <w:autoSpaceDN/>
              <w:bidi w:val="0"/>
              <w:adjustRightInd w:val="0"/>
              <w:snapToGrid w:val="0"/>
              <w:ind w:left="0" w:leftChars="0" w:right="0" w:rightChars="0"/>
              <w:jc w:val="center"/>
              <w:textAlignment w:val="auto"/>
              <w:rPr>
                <w:rFonts w:hint="eastAsia" w:ascii="宋体" w:hAnsi="宋体" w:eastAsia="宋体" w:cs="宋体"/>
                <w:sz w:val="21"/>
                <w:szCs w:val="21"/>
                <w:highlight w:val="none"/>
                <w:lang w:val="zh-CN" w:eastAsia="zh-CN" w:bidi="zh-CN"/>
              </w:rPr>
            </w:pPr>
            <w:r>
              <w:rPr>
                <w:rFonts w:hint="eastAsia" w:ascii="宋体" w:hAnsi="宋体" w:eastAsia="宋体" w:cs="宋体"/>
                <w:sz w:val="21"/>
                <w:szCs w:val="21"/>
                <w:highlight w:val="none"/>
                <w:lang w:val="en-US" w:eastAsia="zh-CN" w:bidi="zh-CN"/>
              </w:rPr>
              <w:t>产品储存方案</w:t>
            </w:r>
          </w:p>
        </w:tc>
        <w:tc>
          <w:tcPr>
            <w:tcW w:w="1008" w:type="dxa"/>
            <w:tcBorders>
              <w:top w:val="outset" w:color="auto" w:sz="6" w:space="0"/>
              <w:left w:val="outset" w:color="auto" w:sz="6" w:space="0"/>
              <w:bottom w:val="outset" w:color="auto" w:sz="6" w:space="0"/>
              <w:right w:val="outset" w:color="auto" w:sz="6" w:space="0"/>
            </w:tcBorders>
            <w:noWrap w:val="0"/>
            <w:vAlign w:val="center"/>
          </w:tcPr>
          <w:p w14:paraId="4A4ACCE1">
            <w:pPr>
              <w:keepNext w:val="0"/>
              <w:keepLines w:val="0"/>
              <w:pageBreakBefore w:val="0"/>
              <w:widowControl w:val="0"/>
              <w:kinsoku/>
              <w:wordWrap w:val="0"/>
              <w:overflowPunct/>
              <w:topLinePunct/>
              <w:autoSpaceDE/>
              <w:autoSpaceDN/>
              <w:bidi w:val="0"/>
              <w:adjustRightInd w:val="0"/>
              <w:snapToGrid w:val="0"/>
              <w:ind w:left="0" w:leftChars="0" w:right="0" w:rightChars="0"/>
              <w:jc w:val="center"/>
              <w:textAlignment w:val="auto"/>
              <w:rPr>
                <w:rFonts w:hint="eastAsia" w:ascii="宋体" w:hAnsi="宋体" w:eastAsia="宋体" w:cs="宋体"/>
                <w:sz w:val="21"/>
                <w:szCs w:val="21"/>
                <w:highlight w:val="none"/>
                <w:lang w:val="zh-CN" w:eastAsia="zh-CN" w:bidi="zh-CN"/>
              </w:rPr>
            </w:pPr>
            <w:r>
              <w:rPr>
                <w:rFonts w:hint="eastAsia" w:ascii="宋体" w:hAnsi="宋体" w:eastAsia="宋体" w:cs="宋体"/>
                <w:sz w:val="21"/>
                <w:szCs w:val="21"/>
                <w:highlight w:val="none"/>
                <w:lang w:val="en-US" w:eastAsia="zh-CN" w:bidi="zh-CN"/>
              </w:rPr>
              <w:t>6分</w:t>
            </w:r>
          </w:p>
        </w:tc>
        <w:tc>
          <w:tcPr>
            <w:tcW w:w="6024" w:type="dxa"/>
            <w:tcBorders>
              <w:top w:val="outset" w:color="auto" w:sz="6" w:space="0"/>
              <w:left w:val="outset" w:color="auto" w:sz="6" w:space="0"/>
              <w:bottom w:val="outset" w:color="auto" w:sz="6" w:space="0"/>
              <w:right w:val="outset" w:color="auto" w:sz="6" w:space="0"/>
            </w:tcBorders>
            <w:noWrap w:val="0"/>
            <w:vAlign w:val="center"/>
          </w:tcPr>
          <w:p w14:paraId="51203688">
            <w:pPr>
              <w:keepNext w:val="0"/>
              <w:keepLines w:val="0"/>
              <w:pageBreakBefore w:val="0"/>
              <w:widowControl w:val="0"/>
              <w:kinsoku/>
              <w:wordWrap w:val="0"/>
              <w:overflowPunct/>
              <w:topLinePunct/>
              <w:autoSpaceDE/>
              <w:autoSpaceDN/>
              <w:bidi w:val="0"/>
              <w:adjustRightInd w:val="0"/>
              <w:snapToGrid w:val="0"/>
              <w:ind w:left="0" w:leftChars="0" w:right="0" w:rightChars="0"/>
              <w:jc w:val="left"/>
              <w:textAlignment w:val="auto"/>
              <w:rPr>
                <w:rFonts w:hint="eastAsia" w:ascii="宋体" w:hAnsi="宋体" w:eastAsia="宋体" w:cs="宋体"/>
                <w:sz w:val="21"/>
                <w:szCs w:val="21"/>
                <w:highlight w:val="none"/>
                <w:lang w:val="en-US" w:eastAsia="zh-CN" w:bidi="zh-CN"/>
              </w:rPr>
            </w:pPr>
            <w:r>
              <w:rPr>
                <w:rFonts w:hint="eastAsia" w:ascii="宋体" w:hAnsi="宋体" w:eastAsia="宋体" w:cs="宋体"/>
                <w:sz w:val="21"/>
                <w:szCs w:val="21"/>
                <w:highlight w:val="none"/>
                <w:lang w:val="en-US" w:eastAsia="zh-CN" w:bidi="zh-CN"/>
              </w:rPr>
              <w:t xml:space="preserve">根据供应商针对本项目提供的产品储存方案进行评分： </w:t>
            </w:r>
          </w:p>
          <w:p w14:paraId="4462CF5F">
            <w:pPr>
              <w:keepNext w:val="0"/>
              <w:keepLines w:val="0"/>
              <w:pageBreakBefore w:val="0"/>
              <w:widowControl w:val="0"/>
              <w:kinsoku/>
              <w:wordWrap w:val="0"/>
              <w:overflowPunct/>
              <w:topLinePunct/>
              <w:autoSpaceDE/>
              <w:autoSpaceDN/>
              <w:bidi w:val="0"/>
              <w:adjustRightInd w:val="0"/>
              <w:snapToGrid w:val="0"/>
              <w:ind w:left="0" w:leftChars="0" w:right="0" w:rightChars="0"/>
              <w:jc w:val="left"/>
              <w:textAlignment w:val="auto"/>
              <w:rPr>
                <w:rFonts w:hint="eastAsia" w:ascii="宋体" w:hAnsi="宋体" w:eastAsia="宋体" w:cs="宋体"/>
                <w:sz w:val="21"/>
                <w:szCs w:val="21"/>
                <w:highlight w:val="none"/>
                <w:lang w:val="en-US" w:eastAsia="zh-CN" w:bidi="zh-CN"/>
              </w:rPr>
            </w:pPr>
            <w:r>
              <w:rPr>
                <w:rFonts w:hint="eastAsia" w:ascii="宋体" w:hAnsi="宋体" w:eastAsia="宋体" w:cs="宋体"/>
                <w:sz w:val="21"/>
                <w:szCs w:val="21"/>
                <w:highlight w:val="none"/>
                <w:lang w:val="en-US" w:eastAsia="zh-CN" w:bidi="zh-CN"/>
              </w:rPr>
              <w:t xml:space="preserve">1.内容完整、详尽细致、可行性强、针对性强的，得6分； </w:t>
            </w:r>
          </w:p>
          <w:p w14:paraId="65A56C93">
            <w:pPr>
              <w:keepNext w:val="0"/>
              <w:keepLines w:val="0"/>
              <w:pageBreakBefore w:val="0"/>
              <w:widowControl w:val="0"/>
              <w:kinsoku/>
              <w:wordWrap w:val="0"/>
              <w:overflowPunct/>
              <w:topLinePunct/>
              <w:autoSpaceDE/>
              <w:autoSpaceDN/>
              <w:bidi w:val="0"/>
              <w:adjustRightInd w:val="0"/>
              <w:snapToGrid w:val="0"/>
              <w:ind w:left="0" w:leftChars="0" w:right="0" w:rightChars="0"/>
              <w:jc w:val="left"/>
              <w:textAlignment w:val="auto"/>
              <w:rPr>
                <w:rFonts w:hint="eastAsia" w:ascii="宋体" w:hAnsi="宋体" w:eastAsia="宋体" w:cs="宋体"/>
                <w:sz w:val="21"/>
                <w:szCs w:val="21"/>
                <w:highlight w:val="none"/>
                <w:lang w:val="en-US" w:eastAsia="zh-CN" w:bidi="zh-CN"/>
              </w:rPr>
            </w:pPr>
            <w:r>
              <w:rPr>
                <w:rFonts w:hint="eastAsia" w:ascii="宋体" w:hAnsi="宋体" w:eastAsia="宋体" w:cs="宋体"/>
                <w:sz w:val="21"/>
                <w:szCs w:val="21"/>
                <w:highlight w:val="none"/>
                <w:lang w:val="en-US" w:eastAsia="zh-CN" w:bidi="zh-CN"/>
              </w:rPr>
              <w:t xml:space="preserve">2.内容完整、可行性和针对性一般的，得4分； </w:t>
            </w:r>
          </w:p>
          <w:p w14:paraId="701A08E1">
            <w:pPr>
              <w:keepNext w:val="0"/>
              <w:keepLines w:val="0"/>
              <w:pageBreakBefore w:val="0"/>
              <w:widowControl w:val="0"/>
              <w:kinsoku/>
              <w:wordWrap w:val="0"/>
              <w:overflowPunct/>
              <w:topLinePunct/>
              <w:autoSpaceDE/>
              <w:autoSpaceDN/>
              <w:bidi w:val="0"/>
              <w:adjustRightInd w:val="0"/>
              <w:snapToGrid w:val="0"/>
              <w:ind w:left="0" w:leftChars="0" w:right="0" w:rightChars="0"/>
              <w:jc w:val="left"/>
              <w:textAlignment w:val="auto"/>
              <w:rPr>
                <w:rFonts w:hint="eastAsia" w:ascii="宋体" w:hAnsi="宋体" w:eastAsia="宋体" w:cs="宋体"/>
                <w:sz w:val="21"/>
                <w:szCs w:val="21"/>
                <w:highlight w:val="none"/>
                <w:lang w:val="en-US" w:eastAsia="zh-CN" w:bidi="zh-CN"/>
              </w:rPr>
            </w:pPr>
            <w:r>
              <w:rPr>
                <w:rFonts w:hint="eastAsia" w:ascii="宋体" w:hAnsi="宋体" w:eastAsia="宋体" w:cs="宋体"/>
                <w:sz w:val="21"/>
                <w:szCs w:val="21"/>
                <w:highlight w:val="none"/>
                <w:lang w:val="en-US" w:eastAsia="zh-CN" w:bidi="zh-CN"/>
              </w:rPr>
              <w:t xml:space="preserve">3.有相应的内容，可行性、针对性有待改善，得2分； </w:t>
            </w:r>
          </w:p>
          <w:p w14:paraId="4B6C1AEA">
            <w:pPr>
              <w:keepNext w:val="0"/>
              <w:keepLines w:val="0"/>
              <w:pageBreakBefore w:val="0"/>
              <w:widowControl w:val="0"/>
              <w:kinsoku/>
              <w:wordWrap w:val="0"/>
              <w:overflowPunct/>
              <w:topLinePunct/>
              <w:autoSpaceDE/>
              <w:autoSpaceDN/>
              <w:bidi w:val="0"/>
              <w:adjustRightInd w:val="0"/>
              <w:snapToGrid w:val="0"/>
              <w:ind w:left="0" w:leftChars="0" w:right="0" w:rightChars="0"/>
              <w:jc w:val="left"/>
              <w:textAlignment w:val="auto"/>
              <w:rPr>
                <w:rFonts w:hint="eastAsia" w:ascii="宋体" w:hAnsi="宋体" w:eastAsia="宋体" w:cs="宋体"/>
                <w:sz w:val="21"/>
                <w:szCs w:val="21"/>
                <w:highlight w:val="none"/>
                <w:lang w:val="en-US" w:eastAsia="zh-CN" w:bidi="zh-CN"/>
              </w:rPr>
            </w:pPr>
            <w:r>
              <w:rPr>
                <w:rFonts w:hint="eastAsia" w:ascii="宋体" w:hAnsi="宋体" w:eastAsia="宋体" w:cs="宋体"/>
                <w:sz w:val="21"/>
                <w:szCs w:val="21"/>
                <w:highlight w:val="none"/>
                <w:lang w:val="en-US" w:eastAsia="zh-CN" w:bidi="zh-CN"/>
              </w:rPr>
              <w:t>4.措施不可行或未提供得0分。</w:t>
            </w:r>
          </w:p>
        </w:tc>
      </w:tr>
      <w:tr w14:paraId="3C49EAE6">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c>
          <w:tcPr>
            <w:tcW w:w="1683" w:type="dxa"/>
            <w:tcBorders>
              <w:top w:val="outset" w:color="auto" w:sz="6" w:space="0"/>
              <w:left w:val="outset" w:color="auto" w:sz="6" w:space="0"/>
              <w:bottom w:val="outset" w:color="auto" w:sz="6" w:space="0"/>
              <w:right w:val="outset" w:color="auto" w:sz="6" w:space="0"/>
            </w:tcBorders>
            <w:noWrap w:val="0"/>
            <w:vAlign w:val="center"/>
          </w:tcPr>
          <w:p w14:paraId="164EC700">
            <w:pPr>
              <w:keepNext w:val="0"/>
              <w:keepLines w:val="0"/>
              <w:pageBreakBefore w:val="0"/>
              <w:widowControl w:val="0"/>
              <w:kinsoku/>
              <w:wordWrap w:val="0"/>
              <w:overflowPunct/>
              <w:topLinePunct/>
              <w:autoSpaceDE/>
              <w:autoSpaceDN/>
              <w:bidi w:val="0"/>
              <w:adjustRightInd w:val="0"/>
              <w:snapToGrid w:val="0"/>
              <w:ind w:left="0" w:leftChars="0" w:right="0" w:rightChars="0"/>
              <w:jc w:val="center"/>
              <w:textAlignment w:val="auto"/>
              <w:rPr>
                <w:rFonts w:hint="eastAsia" w:ascii="宋体" w:hAnsi="宋体" w:eastAsia="宋体" w:cs="宋体"/>
                <w:sz w:val="21"/>
                <w:szCs w:val="21"/>
                <w:highlight w:val="none"/>
                <w:lang w:val="zh-CN" w:eastAsia="zh-CN" w:bidi="zh-CN"/>
              </w:rPr>
            </w:pPr>
            <w:r>
              <w:rPr>
                <w:rFonts w:hint="eastAsia" w:ascii="宋体" w:hAnsi="宋体" w:eastAsia="宋体" w:cs="宋体"/>
                <w:sz w:val="21"/>
                <w:szCs w:val="21"/>
                <w:highlight w:val="none"/>
                <w:lang w:val="en-US" w:eastAsia="zh-CN" w:bidi="zh-CN"/>
              </w:rPr>
              <w:t>产品质量应急处置方案</w:t>
            </w:r>
          </w:p>
        </w:tc>
        <w:tc>
          <w:tcPr>
            <w:tcW w:w="1008" w:type="dxa"/>
            <w:tcBorders>
              <w:top w:val="outset" w:color="auto" w:sz="6" w:space="0"/>
              <w:left w:val="outset" w:color="auto" w:sz="6" w:space="0"/>
              <w:bottom w:val="outset" w:color="auto" w:sz="6" w:space="0"/>
              <w:right w:val="outset" w:color="auto" w:sz="6" w:space="0"/>
            </w:tcBorders>
            <w:noWrap w:val="0"/>
            <w:vAlign w:val="center"/>
          </w:tcPr>
          <w:p w14:paraId="6D10C1B8">
            <w:pPr>
              <w:keepNext w:val="0"/>
              <w:keepLines w:val="0"/>
              <w:pageBreakBefore w:val="0"/>
              <w:widowControl w:val="0"/>
              <w:kinsoku/>
              <w:wordWrap w:val="0"/>
              <w:overflowPunct/>
              <w:topLinePunct/>
              <w:autoSpaceDE/>
              <w:autoSpaceDN/>
              <w:bidi w:val="0"/>
              <w:adjustRightInd w:val="0"/>
              <w:snapToGrid w:val="0"/>
              <w:ind w:left="0" w:leftChars="0" w:right="0" w:rightChars="0"/>
              <w:jc w:val="center"/>
              <w:textAlignment w:val="auto"/>
              <w:rPr>
                <w:rFonts w:hint="eastAsia" w:ascii="宋体" w:hAnsi="宋体" w:eastAsia="宋体" w:cs="宋体"/>
                <w:sz w:val="21"/>
                <w:szCs w:val="21"/>
                <w:highlight w:val="none"/>
                <w:lang w:val="zh-CN" w:eastAsia="zh-CN" w:bidi="zh-CN"/>
              </w:rPr>
            </w:pPr>
            <w:r>
              <w:rPr>
                <w:rFonts w:hint="eastAsia" w:ascii="宋体" w:hAnsi="宋体" w:eastAsia="宋体" w:cs="宋体"/>
                <w:sz w:val="21"/>
                <w:szCs w:val="21"/>
                <w:highlight w:val="none"/>
                <w:lang w:val="en-US" w:eastAsia="zh-CN" w:bidi="zh-CN"/>
              </w:rPr>
              <w:t>6分</w:t>
            </w:r>
          </w:p>
        </w:tc>
        <w:tc>
          <w:tcPr>
            <w:tcW w:w="6024" w:type="dxa"/>
            <w:tcBorders>
              <w:top w:val="outset" w:color="auto" w:sz="6" w:space="0"/>
              <w:left w:val="outset" w:color="auto" w:sz="6" w:space="0"/>
              <w:bottom w:val="outset" w:color="auto" w:sz="6" w:space="0"/>
              <w:right w:val="outset" w:color="auto" w:sz="6" w:space="0"/>
            </w:tcBorders>
            <w:noWrap w:val="0"/>
            <w:vAlign w:val="center"/>
          </w:tcPr>
          <w:p w14:paraId="05A7AFFF">
            <w:pPr>
              <w:keepNext w:val="0"/>
              <w:keepLines w:val="0"/>
              <w:pageBreakBefore w:val="0"/>
              <w:widowControl w:val="0"/>
              <w:kinsoku/>
              <w:wordWrap w:val="0"/>
              <w:overflowPunct/>
              <w:topLinePunct/>
              <w:autoSpaceDE/>
              <w:autoSpaceDN/>
              <w:bidi w:val="0"/>
              <w:adjustRightInd w:val="0"/>
              <w:snapToGrid w:val="0"/>
              <w:ind w:left="0" w:leftChars="0" w:right="0" w:rightChars="0"/>
              <w:jc w:val="left"/>
              <w:textAlignment w:val="auto"/>
              <w:rPr>
                <w:rFonts w:hint="eastAsia" w:ascii="宋体" w:hAnsi="宋体" w:eastAsia="宋体" w:cs="宋体"/>
                <w:sz w:val="21"/>
                <w:szCs w:val="21"/>
                <w:highlight w:val="none"/>
                <w:lang w:val="en-US" w:eastAsia="zh-CN" w:bidi="zh-CN"/>
              </w:rPr>
            </w:pPr>
            <w:r>
              <w:rPr>
                <w:rFonts w:hint="eastAsia" w:ascii="宋体" w:hAnsi="宋体" w:eastAsia="宋体" w:cs="宋体"/>
                <w:sz w:val="21"/>
                <w:szCs w:val="21"/>
                <w:highlight w:val="none"/>
                <w:lang w:val="en-US" w:eastAsia="zh-CN" w:bidi="zh-CN"/>
              </w:rPr>
              <w:t xml:space="preserve">根据供应商针对本项目提供的产品质量应急处置方案进行评分： </w:t>
            </w:r>
          </w:p>
          <w:p w14:paraId="42140E93">
            <w:pPr>
              <w:keepNext w:val="0"/>
              <w:keepLines w:val="0"/>
              <w:pageBreakBefore w:val="0"/>
              <w:widowControl w:val="0"/>
              <w:kinsoku/>
              <w:wordWrap w:val="0"/>
              <w:overflowPunct/>
              <w:topLinePunct/>
              <w:autoSpaceDE/>
              <w:autoSpaceDN/>
              <w:bidi w:val="0"/>
              <w:adjustRightInd w:val="0"/>
              <w:snapToGrid w:val="0"/>
              <w:ind w:left="0" w:leftChars="0" w:right="0" w:rightChars="0"/>
              <w:jc w:val="left"/>
              <w:textAlignment w:val="auto"/>
              <w:rPr>
                <w:rFonts w:hint="eastAsia" w:ascii="宋体" w:hAnsi="宋体" w:eastAsia="宋体" w:cs="宋体"/>
                <w:sz w:val="21"/>
                <w:szCs w:val="21"/>
                <w:highlight w:val="none"/>
                <w:lang w:val="en-US" w:eastAsia="zh-CN" w:bidi="zh-CN"/>
              </w:rPr>
            </w:pPr>
            <w:r>
              <w:rPr>
                <w:rFonts w:hint="eastAsia" w:ascii="宋体" w:hAnsi="宋体" w:eastAsia="宋体" w:cs="宋体"/>
                <w:sz w:val="21"/>
                <w:szCs w:val="21"/>
                <w:highlight w:val="none"/>
                <w:lang w:val="en-US" w:eastAsia="zh-CN" w:bidi="zh-CN"/>
              </w:rPr>
              <w:t xml:space="preserve">1.内容完整、详尽细致、可行性强、针对性强的，得6分； </w:t>
            </w:r>
          </w:p>
          <w:p w14:paraId="295A3386">
            <w:pPr>
              <w:keepNext w:val="0"/>
              <w:keepLines w:val="0"/>
              <w:pageBreakBefore w:val="0"/>
              <w:widowControl w:val="0"/>
              <w:kinsoku/>
              <w:wordWrap w:val="0"/>
              <w:overflowPunct/>
              <w:topLinePunct/>
              <w:autoSpaceDE/>
              <w:autoSpaceDN/>
              <w:bidi w:val="0"/>
              <w:adjustRightInd w:val="0"/>
              <w:snapToGrid w:val="0"/>
              <w:ind w:left="0" w:leftChars="0" w:right="0" w:rightChars="0"/>
              <w:jc w:val="left"/>
              <w:textAlignment w:val="auto"/>
              <w:rPr>
                <w:rFonts w:hint="eastAsia" w:ascii="宋体" w:hAnsi="宋体" w:eastAsia="宋体" w:cs="宋体"/>
                <w:sz w:val="21"/>
                <w:szCs w:val="21"/>
                <w:highlight w:val="none"/>
                <w:lang w:val="en-US" w:eastAsia="zh-CN" w:bidi="zh-CN"/>
              </w:rPr>
            </w:pPr>
            <w:r>
              <w:rPr>
                <w:rFonts w:hint="eastAsia" w:ascii="宋体" w:hAnsi="宋体" w:eastAsia="宋体" w:cs="宋体"/>
                <w:sz w:val="21"/>
                <w:szCs w:val="21"/>
                <w:highlight w:val="none"/>
                <w:lang w:val="en-US" w:eastAsia="zh-CN" w:bidi="zh-CN"/>
              </w:rPr>
              <w:t xml:space="preserve">2.内容完整、可行性和针对性一般的，得4分； </w:t>
            </w:r>
          </w:p>
          <w:p w14:paraId="7AB4839F">
            <w:pPr>
              <w:keepNext w:val="0"/>
              <w:keepLines w:val="0"/>
              <w:pageBreakBefore w:val="0"/>
              <w:widowControl w:val="0"/>
              <w:kinsoku/>
              <w:wordWrap w:val="0"/>
              <w:overflowPunct/>
              <w:topLinePunct/>
              <w:autoSpaceDE/>
              <w:autoSpaceDN/>
              <w:bidi w:val="0"/>
              <w:adjustRightInd w:val="0"/>
              <w:snapToGrid w:val="0"/>
              <w:ind w:left="0" w:leftChars="0" w:right="0" w:rightChars="0"/>
              <w:jc w:val="left"/>
              <w:textAlignment w:val="auto"/>
              <w:rPr>
                <w:rFonts w:hint="eastAsia" w:ascii="宋体" w:hAnsi="宋体" w:eastAsia="宋体" w:cs="宋体"/>
                <w:sz w:val="21"/>
                <w:szCs w:val="21"/>
                <w:highlight w:val="none"/>
                <w:lang w:val="en-US" w:eastAsia="zh-CN" w:bidi="zh-CN"/>
              </w:rPr>
            </w:pPr>
            <w:r>
              <w:rPr>
                <w:rFonts w:hint="eastAsia" w:ascii="宋体" w:hAnsi="宋体" w:eastAsia="宋体" w:cs="宋体"/>
                <w:sz w:val="21"/>
                <w:szCs w:val="21"/>
                <w:highlight w:val="none"/>
                <w:lang w:val="en-US" w:eastAsia="zh-CN" w:bidi="zh-CN"/>
              </w:rPr>
              <w:t xml:space="preserve">3.有相应的内容，可行性、针对性有待改善，得2分； </w:t>
            </w:r>
          </w:p>
          <w:p w14:paraId="47507D9B">
            <w:pPr>
              <w:keepNext w:val="0"/>
              <w:keepLines w:val="0"/>
              <w:pageBreakBefore w:val="0"/>
              <w:widowControl w:val="0"/>
              <w:kinsoku/>
              <w:wordWrap w:val="0"/>
              <w:overflowPunct/>
              <w:topLinePunct/>
              <w:autoSpaceDE/>
              <w:autoSpaceDN/>
              <w:bidi w:val="0"/>
              <w:adjustRightInd w:val="0"/>
              <w:snapToGrid w:val="0"/>
              <w:ind w:left="0" w:leftChars="0" w:right="0" w:rightChars="0"/>
              <w:jc w:val="left"/>
              <w:textAlignment w:val="auto"/>
              <w:rPr>
                <w:rFonts w:hint="eastAsia" w:ascii="宋体" w:hAnsi="宋体" w:eastAsia="宋体" w:cs="宋体"/>
                <w:sz w:val="21"/>
                <w:szCs w:val="21"/>
                <w:highlight w:val="none"/>
                <w:lang w:val="en-US" w:eastAsia="zh-CN" w:bidi="zh-CN"/>
              </w:rPr>
            </w:pPr>
            <w:r>
              <w:rPr>
                <w:rFonts w:hint="eastAsia" w:ascii="宋体" w:hAnsi="宋体" w:eastAsia="宋体" w:cs="宋体"/>
                <w:sz w:val="21"/>
                <w:szCs w:val="21"/>
                <w:highlight w:val="none"/>
                <w:lang w:val="en-US" w:eastAsia="zh-CN" w:bidi="zh-CN"/>
              </w:rPr>
              <w:t>4.措施不可行或未提供得0分。</w:t>
            </w:r>
          </w:p>
        </w:tc>
      </w:tr>
    </w:tbl>
    <w:p w14:paraId="035686F2">
      <w:pPr>
        <w:spacing w:line="360" w:lineRule="auto"/>
        <w:ind w:firstLine="440" w:firstLineChars="200"/>
        <w:rPr>
          <w:rFonts w:hint="eastAsia"/>
          <w:color w:val="000000"/>
          <w:szCs w:val="21"/>
          <w:highlight w:val="none"/>
        </w:rPr>
      </w:pPr>
      <w:r>
        <w:rPr>
          <w:rFonts w:hint="eastAsia"/>
          <w:color w:val="000000"/>
          <w:szCs w:val="21"/>
          <w:highlight w:val="none"/>
        </w:rPr>
        <w:t>当评委对投标人的技术标的打分低于</w:t>
      </w:r>
      <w:r>
        <w:rPr>
          <w:rFonts w:hint="eastAsia"/>
          <w:color w:val="000000"/>
          <w:szCs w:val="21"/>
          <w:highlight w:val="none"/>
          <w:lang w:val="en-US"/>
        </w:rPr>
        <w:t>技术标</w:t>
      </w:r>
      <w:r>
        <w:rPr>
          <w:rFonts w:hint="eastAsia"/>
          <w:color w:val="000000"/>
          <w:szCs w:val="21"/>
          <w:highlight w:val="none"/>
        </w:rPr>
        <w:t>总分的60%（或打分为满分）或任何一个子项打分为0分时，须作出解释说明。</w:t>
      </w:r>
    </w:p>
    <w:p w14:paraId="2900C36A">
      <w:pPr>
        <w:spacing w:line="360" w:lineRule="auto"/>
        <w:ind w:firstLine="422" w:firstLineChars="200"/>
        <w:outlineLvl w:val="1"/>
        <w:rPr>
          <w:rFonts w:hint="eastAsia"/>
          <w:b/>
          <w:color w:val="000000"/>
          <w:sz w:val="21"/>
          <w:szCs w:val="21"/>
          <w:highlight w:val="none"/>
        </w:rPr>
      </w:pPr>
      <w:bookmarkStart w:id="12" w:name="_Toc18376"/>
      <w:r>
        <w:rPr>
          <w:rFonts w:hint="eastAsia"/>
          <w:b/>
          <w:color w:val="000000"/>
          <w:sz w:val="21"/>
          <w:szCs w:val="21"/>
          <w:highlight w:val="none"/>
        </w:rPr>
        <w:t>4</w:t>
      </w:r>
      <w:r>
        <w:rPr>
          <w:rFonts w:hint="eastAsia"/>
          <w:b/>
          <w:color w:val="000000"/>
          <w:sz w:val="21"/>
          <w:szCs w:val="21"/>
          <w:highlight w:val="none"/>
          <w:lang w:val="en-US"/>
        </w:rPr>
        <w:t>.</w:t>
      </w:r>
      <w:r>
        <w:rPr>
          <w:rFonts w:hint="eastAsia"/>
          <w:b/>
          <w:color w:val="000000"/>
          <w:sz w:val="21"/>
          <w:szCs w:val="21"/>
          <w:highlight w:val="none"/>
        </w:rPr>
        <w:t>评审结果</w:t>
      </w:r>
      <w:bookmarkEnd w:id="12"/>
      <w:r>
        <w:rPr>
          <w:rFonts w:hint="eastAsia"/>
          <w:b/>
          <w:color w:val="000000"/>
          <w:sz w:val="21"/>
          <w:szCs w:val="21"/>
          <w:highlight w:val="none"/>
        </w:rPr>
        <w:t xml:space="preserve"> </w:t>
      </w:r>
    </w:p>
    <w:p w14:paraId="7EA314BC">
      <w:pPr>
        <w:spacing w:line="360" w:lineRule="auto"/>
        <w:ind w:firstLine="420" w:firstLineChars="200"/>
        <w:rPr>
          <w:rFonts w:hint="eastAsia"/>
          <w:color w:val="000000"/>
          <w:sz w:val="21"/>
          <w:szCs w:val="21"/>
          <w:highlight w:val="none"/>
        </w:rPr>
      </w:pPr>
      <w:r>
        <w:rPr>
          <w:rFonts w:hint="eastAsia"/>
          <w:color w:val="000000"/>
          <w:sz w:val="21"/>
          <w:szCs w:val="21"/>
          <w:highlight w:val="none"/>
        </w:rPr>
        <w:t>4.1经评审合格的投标文件，评标委员会按综合评审得分从高到低的顺序依次推荐</w:t>
      </w:r>
      <w:r>
        <w:rPr>
          <w:rFonts w:hint="eastAsia"/>
          <w:color w:val="000000"/>
          <w:sz w:val="21"/>
          <w:szCs w:val="21"/>
          <w:highlight w:val="none"/>
          <w:lang w:val="en-US"/>
        </w:rPr>
        <w:t>2</w:t>
      </w:r>
      <w:r>
        <w:rPr>
          <w:rFonts w:hint="eastAsia"/>
          <w:color w:val="000000"/>
          <w:sz w:val="21"/>
          <w:szCs w:val="21"/>
          <w:highlight w:val="none"/>
        </w:rPr>
        <w:t>名中标候选人。排名第一的为首选中标候选人，</w:t>
      </w:r>
      <w:r>
        <w:rPr>
          <w:rFonts w:hint="eastAsia"/>
          <w:color w:val="000000"/>
          <w:sz w:val="21"/>
          <w:szCs w:val="21"/>
          <w:highlight w:val="none"/>
          <w:lang w:val="en-US"/>
        </w:rPr>
        <w:t>排名</w:t>
      </w:r>
      <w:r>
        <w:rPr>
          <w:rFonts w:hint="eastAsia"/>
          <w:color w:val="000000"/>
          <w:sz w:val="21"/>
          <w:szCs w:val="21"/>
          <w:highlight w:val="none"/>
        </w:rPr>
        <w:t>第二的</w:t>
      </w:r>
      <w:r>
        <w:rPr>
          <w:rFonts w:hint="eastAsia"/>
          <w:color w:val="000000"/>
          <w:sz w:val="21"/>
          <w:szCs w:val="21"/>
          <w:highlight w:val="none"/>
          <w:lang w:val="en-US"/>
        </w:rPr>
        <w:t>为</w:t>
      </w:r>
      <w:r>
        <w:rPr>
          <w:rFonts w:hint="eastAsia"/>
          <w:color w:val="000000"/>
          <w:sz w:val="21"/>
          <w:szCs w:val="21"/>
          <w:highlight w:val="none"/>
        </w:rPr>
        <w:t>第</w:t>
      </w:r>
      <w:r>
        <w:rPr>
          <w:rFonts w:hint="eastAsia"/>
          <w:color w:val="000000"/>
          <w:sz w:val="21"/>
          <w:szCs w:val="21"/>
          <w:highlight w:val="none"/>
          <w:lang w:val="en-US"/>
        </w:rPr>
        <w:t>二</w:t>
      </w:r>
      <w:r>
        <w:rPr>
          <w:rFonts w:hint="eastAsia"/>
          <w:color w:val="000000"/>
          <w:sz w:val="21"/>
          <w:szCs w:val="21"/>
          <w:highlight w:val="none"/>
        </w:rPr>
        <w:t>中标候选人。</w:t>
      </w:r>
    </w:p>
    <w:p w14:paraId="5EC3D552">
      <w:pPr>
        <w:spacing w:line="360" w:lineRule="auto"/>
        <w:ind w:firstLine="420" w:firstLineChars="200"/>
        <w:rPr>
          <w:rFonts w:hint="eastAsia"/>
          <w:color w:val="000000"/>
          <w:sz w:val="21"/>
          <w:szCs w:val="21"/>
          <w:highlight w:val="none"/>
        </w:rPr>
      </w:pPr>
      <w:r>
        <w:rPr>
          <w:rFonts w:hint="eastAsia"/>
          <w:color w:val="000000"/>
          <w:sz w:val="21"/>
          <w:szCs w:val="21"/>
          <w:highlight w:val="none"/>
        </w:rPr>
        <w:t>4.2评标委员会（招标代理机构协助）对拟推荐的中标候选人的信用状况进行查询，经查询若被列入投标人须知前附表中第</w:t>
      </w:r>
      <w:r>
        <w:rPr>
          <w:rFonts w:hint="eastAsia"/>
          <w:color w:val="000000"/>
          <w:sz w:val="21"/>
          <w:szCs w:val="21"/>
          <w:highlight w:val="none"/>
          <w:lang w:val="en-US"/>
        </w:rPr>
        <w:t>10.1</w:t>
      </w:r>
      <w:r>
        <w:rPr>
          <w:rFonts w:hint="eastAsia"/>
          <w:color w:val="000000"/>
          <w:sz w:val="21"/>
          <w:szCs w:val="21"/>
          <w:highlight w:val="none"/>
        </w:rPr>
        <w:t>条的，由评标委员会取消其中标候选人资格，并按4.1条重新确定中标候选人人选，完成相关工作，与此同时，将对拟推荐的中标候选人的截至评标日的信用状况进行查询并在截图上由评委会签字确认。</w:t>
      </w:r>
    </w:p>
    <w:p w14:paraId="4324B760">
      <w:pPr>
        <w:spacing w:line="360" w:lineRule="auto"/>
        <w:ind w:firstLine="420" w:firstLineChars="200"/>
        <w:rPr>
          <w:rFonts w:hint="eastAsia"/>
          <w:color w:val="000000"/>
          <w:sz w:val="21"/>
          <w:szCs w:val="21"/>
          <w:highlight w:val="none"/>
        </w:rPr>
      </w:pPr>
      <w:r>
        <w:rPr>
          <w:rFonts w:hint="eastAsia"/>
          <w:color w:val="000000"/>
          <w:sz w:val="21"/>
          <w:szCs w:val="21"/>
          <w:highlight w:val="none"/>
        </w:rPr>
        <w:t>4.3评标委员会完成评标后，应当向招标提交书面评标报告。</w:t>
      </w:r>
    </w:p>
    <w:p w14:paraId="2B382E32">
      <w:pPr>
        <w:spacing w:line="360" w:lineRule="auto"/>
        <w:ind w:firstLine="422" w:firstLineChars="200"/>
        <w:outlineLvl w:val="1"/>
        <w:rPr>
          <w:rFonts w:hint="eastAsia"/>
          <w:b/>
          <w:color w:val="000000"/>
          <w:sz w:val="21"/>
          <w:szCs w:val="21"/>
          <w:highlight w:val="none"/>
        </w:rPr>
      </w:pPr>
      <w:bookmarkStart w:id="13" w:name="_Toc27689"/>
      <w:r>
        <w:rPr>
          <w:rFonts w:hint="eastAsia"/>
          <w:b/>
          <w:color w:val="000000"/>
          <w:sz w:val="21"/>
          <w:szCs w:val="21"/>
          <w:highlight w:val="none"/>
        </w:rPr>
        <w:t>5.例外情况</w:t>
      </w:r>
      <w:bookmarkEnd w:id="13"/>
    </w:p>
    <w:p w14:paraId="334B04BC">
      <w:pPr>
        <w:spacing w:line="360" w:lineRule="auto"/>
        <w:ind w:firstLine="420" w:firstLineChars="200"/>
        <w:rPr>
          <w:rFonts w:hint="eastAsia"/>
          <w:color w:val="000000"/>
          <w:sz w:val="21"/>
          <w:szCs w:val="21"/>
          <w:highlight w:val="none"/>
        </w:rPr>
      </w:pPr>
      <w:r>
        <w:rPr>
          <w:rFonts w:hint="eastAsia"/>
          <w:color w:val="000000"/>
          <w:sz w:val="21"/>
          <w:szCs w:val="21"/>
          <w:highlight w:val="none"/>
        </w:rPr>
        <w:t>5.1当出现投标人综合评审得分相等时，按下列顺序排序：“</w:t>
      </w:r>
      <w:r>
        <w:rPr>
          <w:rFonts w:hint="eastAsia"/>
          <w:color w:val="000000"/>
          <w:sz w:val="21"/>
          <w:szCs w:val="21"/>
          <w:highlight w:val="none"/>
          <w:lang w:val="en-US"/>
        </w:rPr>
        <w:t>投标报价</w:t>
      </w:r>
      <w:r>
        <w:rPr>
          <w:rFonts w:hint="eastAsia"/>
          <w:color w:val="000000"/>
          <w:sz w:val="21"/>
          <w:szCs w:val="21"/>
          <w:highlight w:val="none"/>
        </w:rPr>
        <w:t>”得分高的优先；仍相同时，“</w:t>
      </w:r>
      <w:r>
        <w:rPr>
          <w:rFonts w:hint="eastAsia"/>
          <w:color w:val="000000"/>
          <w:sz w:val="21"/>
          <w:szCs w:val="21"/>
          <w:highlight w:val="none"/>
          <w:lang w:val="en-US"/>
        </w:rPr>
        <w:t>技术标</w:t>
      </w:r>
      <w:r>
        <w:rPr>
          <w:rFonts w:hint="eastAsia"/>
          <w:color w:val="000000"/>
          <w:sz w:val="21"/>
          <w:szCs w:val="21"/>
          <w:highlight w:val="none"/>
        </w:rPr>
        <w:t>”得分高的优先；依然相同时，由评标委员会现场抽签确定顺序。</w:t>
      </w:r>
    </w:p>
    <w:p w14:paraId="0BB23399">
      <w:pPr>
        <w:spacing w:line="360" w:lineRule="auto"/>
        <w:ind w:firstLine="420" w:firstLineChars="200"/>
        <w:rPr>
          <w:rFonts w:hint="eastAsia"/>
          <w:color w:val="000000"/>
          <w:sz w:val="21"/>
          <w:szCs w:val="21"/>
          <w:highlight w:val="none"/>
        </w:rPr>
      </w:pPr>
      <w:r>
        <w:rPr>
          <w:rFonts w:hint="eastAsia"/>
          <w:color w:val="000000"/>
          <w:sz w:val="21"/>
          <w:szCs w:val="21"/>
          <w:highlight w:val="none"/>
        </w:rPr>
        <w:t>5.2通过评审合格的投标人少于3家，评标委员会应否决全部投标，项目按流标处理。</w:t>
      </w:r>
    </w:p>
    <w:p w14:paraId="1B0417D4">
      <w:pPr>
        <w:spacing w:line="360" w:lineRule="auto"/>
        <w:ind w:firstLine="420" w:firstLineChars="200"/>
        <w:rPr>
          <w:rFonts w:hint="eastAsia"/>
          <w:color w:val="000000"/>
          <w:sz w:val="21"/>
          <w:szCs w:val="21"/>
          <w:highlight w:val="none"/>
        </w:rPr>
      </w:pPr>
      <w:r>
        <w:rPr>
          <w:rFonts w:hint="eastAsia"/>
          <w:color w:val="000000"/>
          <w:sz w:val="21"/>
          <w:szCs w:val="21"/>
          <w:highlight w:val="none"/>
        </w:rPr>
        <w:t>5.3招标文件条款存在含义不清或者相互矛盾的，评标委员会应当针对相应条款作出有利于相应投标人的结论。</w:t>
      </w:r>
    </w:p>
    <w:p w14:paraId="6CBA4757">
      <w:pPr>
        <w:spacing w:line="360" w:lineRule="auto"/>
        <w:ind w:firstLine="420" w:firstLineChars="200"/>
        <w:rPr>
          <w:rFonts w:hint="eastAsia"/>
          <w:color w:val="000000"/>
          <w:sz w:val="21"/>
          <w:szCs w:val="21"/>
          <w:highlight w:val="none"/>
        </w:rPr>
      </w:pPr>
      <w:r>
        <w:rPr>
          <w:rFonts w:hint="eastAsia"/>
          <w:color w:val="000000"/>
          <w:sz w:val="21"/>
          <w:szCs w:val="21"/>
          <w:highlight w:val="none"/>
        </w:rPr>
        <w:t>5.4 评标委员会发现招标文件存在歧义、重大缺陷导致评标工作无法进行，或者招标文件的内容违反国家有关强制性规定的，应当停止评标工作，与招标人或代理机构沟通并做书面记录。招标人或代理机构书面确认后，应当修改招标文件，重新组织采购活动。</w:t>
      </w:r>
    </w:p>
    <w:p w14:paraId="46DD5817">
      <w:pPr>
        <w:spacing w:line="360" w:lineRule="auto"/>
        <w:ind w:firstLine="422" w:firstLineChars="200"/>
        <w:outlineLvl w:val="1"/>
        <w:rPr>
          <w:rFonts w:hint="eastAsia"/>
          <w:b/>
          <w:color w:val="000000"/>
          <w:sz w:val="21"/>
          <w:szCs w:val="21"/>
          <w:highlight w:val="none"/>
        </w:rPr>
      </w:pPr>
      <w:bookmarkStart w:id="14" w:name="_Toc19417"/>
      <w:r>
        <w:rPr>
          <w:rFonts w:hint="eastAsia"/>
          <w:b/>
          <w:color w:val="000000"/>
          <w:sz w:val="21"/>
          <w:szCs w:val="21"/>
          <w:highlight w:val="none"/>
        </w:rPr>
        <w:t>6.其他</w:t>
      </w:r>
      <w:bookmarkEnd w:id="14"/>
    </w:p>
    <w:p w14:paraId="49146A5C">
      <w:pPr>
        <w:spacing w:line="360" w:lineRule="auto"/>
        <w:ind w:firstLine="420" w:firstLineChars="200"/>
        <w:rPr>
          <w:rFonts w:hint="eastAsia"/>
          <w:color w:val="000000"/>
          <w:sz w:val="21"/>
          <w:szCs w:val="21"/>
          <w:highlight w:val="none"/>
        </w:rPr>
      </w:pPr>
      <w:r>
        <w:rPr>
          <w:rFonts w:hint="eastAsia"/>
          <w:color w:val="000000"/>
          <w:sz w:val="21"/>
          <w:szCs w:val="21"/>
          <w:highlight w:val="none"/>
          <w:lang w:val="en-US"/>
        </w:rPr>
        <w:t>6.1</w:t>
      </w:r>
      <w:r>
        <w:rPr>
          <w:rFonts w:hint="eastAsia"/>
          <w:color w:val="000000"/>
          <w:sz w:val="21"/>
          <w:szCs w:val="21"/>
          <w:highlight w:val="none"/>
        </w:rPr>
        <w:t>评标委员会发现投标人的报价明显低于其他有效投标报价平均值50%时，使得其投标报价可能低于其个别成本的，应当要求该投标人作出书面说明并提供相应的证明材料。投标人不能合理说明或者不能提供相应证明材料的，评标委员会应当认定该投标人以低于成本报价竞标，并否决其投标。</w:t>
      </w:r>
    </w:p>
    <w:p w14:paraId="74572F00">
      <w:pPr>
        <w:spacing w:line="360" w:lineRule="auto"/>
        <w:ind w:firstLine="420" w:firstLineChars="200"/>
        <w:rPr>
          <w:rFonts w:hint="eastAsia"/>
          <w:color w:val="000000"/>
          <w:sz w:val="21"/>
          <w:szCs w:val="21"/>
          <w:highlight w:val="none"/>
        </w:rPr>
      </w:pPr>
      <w:r>
        <w:rPr>
          <w:rFonts w:hint="eastAsia"/>
          <w:color w:val="000000"/>
          <w:sz w:val="21"/>
          <w:szCs w:val="21"/>
          <w:highlight w:val="none"/>
          <w:lang w:val="en-US"/>
        </w:rPr>
        <w:t>6.2</w:t>
      </w:r>
      <w:r>
        <w:rPr>
          <w:rFonts w:hint="eastAsia"/>
          <w:color w:val="000000"/>
          <w:sz w:val="21"/>
          <w:szCs w:val="21"/>
          <w:highlight w:val="none"/>
        </w:rPr>
        <w:t>在评标过程中，评标委员会可以书面形式要求投标人对投标文件中含义不明确、对同类问题表述不一致或者有明显文字和计算错误的内容作必要的澄清、说明或补正。澄清、说明或补正应以书面方式进行。评标委员会不接受投标人主动提出的澄清、说明或补正。澄清、说明或补正不得超出投标文件的范围且不得改变投标文件的实质性内容，并构成投标文件的组成部分。评标委员会对投标人提交的澄清、说明或补正有疑问的，可以要求投标人进一步澄清、说明或补正，直至满足评标委员会的要求。</w:t>
      </w:r>
    </w:p>
    <w:p w14:paraId="4447FDD2">
      <w:pPr>
        <w:spacing w:line="360" w:lineRule="auto"/>
        <w:ind w:firstLine="420" w:firstLineChars="200"/>
        <w:rPr>
          <w:rFonts w:hint="eastAsia"/>
          <w:color w:val="000000"/>
          <w:sz w:val="21"/>
          <w:szCs w:val="21"/>
          <w:highlight w:val="none"/>
        </w:rPr>
      </w:pPr>
      <w:r>
        <w:rPr>
          <w:rFonts w:hint="eastAsia"/>
          <w:color w:val="000000"/>
          <w:sz w:val="21"/>
          <w:szCs w:val="21"/>
          <w:highlight w:val="none"/>
          <w:lang w:val="en-US"/>
        </w:rPr>
        <w:t>6.3</w:t>
      </w:r>
      <w:r>
        <w:rPr>
          <w:rFonts w:hint="eastAsia"/>
          <w:color w:val="000000"/>
          <w:sz w:val="21"/>
          <w:szCs w:val="21"/>
          <w:highlight w:val="none"/>
        </w:rPr>
        <w:t>有下列情形之一的，评标委员会应当否决其投标：</w:t>
      </w:r>
    </w:p>
    <w:p w14:paraId="231956CF">
      <w:pPr>
        <w:spacing w:line="360" w:lineRule="auto"/>
        <w:ind w:firstLine="420" w:firstLineChars="200"/>
        <w:rPr>
          <w:rFonts w:hint="eastAsia"/>
          <w:color w:val="000000"/>
          <w:sz w:val="21"/>
          <w:szCs w:val="21"/>
          <w:highlight w:val="none"/>
        </w:rPr>
      </w:pPr>
      <w:r>
        <w:rPr>
          <w:rFonts w:hint="eastAsia"/>
          <w:color w:val="000000"/>
          <w:sz w:val="21"/>
          <w:szCs w:val="21"/>
          <w:highlight w:val="none"/>
        </w:rPr>
        <w:t>（</w:t>
      </w:r>
      <w:r>
        <w:rPr>
          <w:rFonts w:hint="eastAsia"/>
          <w:color w:val="000000"/>
          <w:sz w:val="21"/>
          <w:szCs w:val="21"/>
          <w:highlight w:val="none"/>
          <w:lang w:val="en-US"/>
        </w:rPr>
        <w:t>一</w:t>
      </w:r>
      <w:r>
        <w:rPr>
          <w:rFonts w:hint="eastAsia"/>
          <w:color w:val="000000"/>
          <w:sz w:val="21"/>
          <w:szCs w:val="21"/>
          <w:highlight w:val="none"/>
        </w:rPr>
        <w:t>）投标联合体没有提交共同投标协议；</w:t>
      </w:r>
    </w:p>
    <w:p w14:paraId="356D04BE">
      <w:pPr>
        <w:spacing w:line="360" w:lineRule="auto"/>
        <w:ind w:firstLine="420" w:firstLineChars="200"/>
        <w:rPr>
          <w:rFonts w:hint="eastAsia"/>
          <w:color w:val="000000"/>
          <w:sz w:val="21"/>
          <w:szCs w:val="21"/>
          <w:highlight w:val="none"/>
        </w:rPr>
      </w:pPr>
      <w:r>
        <w:rPr>
          <w:rFonts w:hint="eastAsia"/>
          <w:color w:val="000000"/>
          <w:sz w:val="21"/>
          <w:szCs w:val="21"/>
          <w:highlight w:val="none"/>
        </w:rPr>
        <w:t>（</w:t>
      </w:r>
      <w:r>
        <w:rPr>
          <w:rFonts w:hint="eastAsia"/>
          <w:color w:val="000000"/>
          <w:sz w:val="21"/>
          <w:szCs w:val="21"/>
          <w:highlight w:val="none"/>
          <w:lang w:val="en-US"/>
        </w:rPr>
        <w:t>二</w:t>
      </w:r>
      <w:r>
        <w:rPr>
          <w:rFonts w:hint="eastAsia"/>
          <w:color w:val="000000"/>
          <w:sz w:val="21"/>
          <w:szCs w:val="21"/>
          <w:highlight w:val="none"/>
        </w:rPr>
        <w:t>）投标人不符合国家或者招标文件规定的资格条件；</w:t>
      </w:r>
    </w:p>
    <w:p w14:paraId="5AAF0EDB">
      <w:pPr>
        <w:spacing w:line="360" w:lineRule="auto"/>
        <w:ind w:firstLine="420" w:firstLineChars="200"/>
        <w:rPr>
          <w:rFonts w:hint="eastAsia"/>
          <w:color w:val="000000"/>
          <w:sz w:val="21"/>
          <w:szCs w:val="21"/>
          <w:highlight w:val="none"/>
        </w:rPr>
      </w:pPr>
      <w:r>
        <w:rPr>
          <w:rFonts w:hint="eastAsia"/>
          <w:color w:val="000000"/>
          <w:sz w:val="21"/>
          <w:szCs w:val="21"/>
          <w:highlight w:val="none"/>
        </w:rPr>
        <w:t>（</w:t>
      </w:r>
      <w:r>
        <w:rPr>
          <w:rFonts w:hint="eastAsia"/>
          <w:color w:val="000000"/>
          <w:sz w:val="21"/>
          <w:szCs w:val="21"/>
          <w:highlight w:val="none"/>
          <w:lang w:val="en-US"/>
        </w:rPr>
        <w:t>三</w:t>
      </w:r>
      <w:r>
        <w:rPr>
          <w:rFonts w:hint="eastAsia"/>
          <w:color w:val="000000"/>
          <w:sz w:val="21"/>
          <w:szCs w:val="21"/>
          <w:highlight w:val="none"/>
        </w:rPr>
        <w:t>）同一投标人提交两个以上不同的投标文件或者投标报价，但招标文件要求提交备选投标的除外；</w:t>
      </w:r>
    </w:p>
    <w:p w14:paraId="5D2FEB64">
      <w:pPr>
        <w:spacing w:line="360" w:lineRule="auto"/>
        <w:ind w:firstLine="420" w:firstLineChars="200"/>
        <w:rPr>
          <w:rFonts w:hint="eastAsia"/>
          <w:color w:val="000000"/>
          <w:sz w:val="21"/>
          <w:szCs w:val="21"/>
          <w:highlight w:val="none"/>
        </w:rPr>
      </w:pPr>
      <w:r>
        <w:rPr>
          <w:rFonts w:hint="eastAsia"/>
          <w:color w:val="000000"/>
          <w:sz w:val="21"/>
          <w:szCs w:val="21"/>
          <w:highlight w:val="none"/>
        </w:rPr>
        <w:t>（</w:t>
      </w:r>
      <w:r>
        <w:rPr>
          <w:rFonts w:hint="eastAsia"/>
          <w:color w:val="000000"/>
          <w:sz w:val="21"/>
          <w:szCs w:val="21"/>
          <w:highlight w:val="none"/>
          <w:lang w:val="en-US"/>
        </w:rPr>
        <w:t>四</w:t>
      </w:r>
      <w:r>
        <w:rPr>
          <w:rFonts w:hint="eastAsia"/>
          <w:color w:val="000000"/>
          <w:sz w:val="21"/>
          <w:szCs w:val="21"/>
          <w:highlight w:val="none"/>
        </w:rPr>
        <w:t>）投标报价低于成本或者高于招标文件设定的最高投标限价；</w:t>
      </w:r>
    </w:p>
    <w:p w14:paraId="22F3FCE4">
      <w:pPr>
        <w:spacing w:line="360" w:lineRule="auto"/>
        <w:ind w:firstLine="420" w:firstLineChars="200"/>
        <w:rPr>
          <w:rFonts w:hint="eastAsia"/>
          <w:color w:val="000000"/>
          <w:sz w:val="21"/>
          <w:szCs w:val="21"/>
          <w:highlight w:val="none"/>
        </w:rPr>
      </w:pPr>
      <w:r>
        <w:rPr>
          <w:rFonts w:hint="eastAsia"/>
          <w:color w:val="000000"/>
          <w:sz w:val="21"/>
          <w:szCs w:val="21"/>
          <w:highlight w:val="none"/>
        </w:rPr>
        <w:t>（</w:t>
      </w:r>
      <w:r>
        <w:rPr>
          <w:rFonts w:hint="eastAsia"/>
          <w:color w:val="000000"/>
          <w:sz w:val="21"/>
          <w:szCs w:val="21"/>
          <w:highlight w:val="none"/>
          <w:lang w:val="en-US"/>
        </w:rPr>
        <w:t>五</w:t>
      </w:r>
      <w:r>
        <w:rPr>
          <w:rFonts w:hint="eastAsia"/>
          <w:color w:val="000000"/>
          <w:sz w:val="21"/>
          <w:szCs w:val="21"/>
          <w:highlight w:val="none"/>
        </w:rPr>
        <w:t>）投标文件没有对招标文件的实质性要求和条件作出响应；</w:t>
      </w:r>
    </w:p>
    <w:p w14:paraId="2E913B32">
      <w:pPr>
        <w:spacing w:line="360" w:lineRule="auto"/>
        <w:ind w:firstLine="420" w:firstLineChars="200"/>
        <w:rPr>
          <w:rFonts w:hint="eastAsia"/>
          <w:color w:val="000000"/>
          <w:sz w:val="21"/>
          <w:szCs w:val="21"/>
          <w:highlight w:val="none"/>
        </w:rPr>
      </w:pPr>
      <w:r>
        <w:rPr>
          <w:rFonts w:hint="eastAsia"/>
          <w:color w:val="000000"/>
          <w:sz w:val="21"/>
          <w:szCs w:val="21"/>
          <w:highlight w:val="none"/>
        </w:rPr>
        <w:t>（</w:t>
      </w:r>
      <w:r>
        <w:rPr>
          <w:rFonts w:hint="eastAsia"/>
          <w:color w:val="000000"/>
          <w:sz w:val="21"/>
          <w:szCs w:val="21"/>
          <w:highlight w:val="none"/>
          <w:lang w:val="en-US"/>
        </w:rPr>
        <w:t>六</w:t>
      </w:r>
      <w:r>
        <w:rPr>
          <w:rFonts w:hint="eastAsia"/>
          <w:color w:val="000000"/>
          <w:sz w:val="21"/>
          <w:szCs w:val="21"/>
          <w:highlight w:val="none"/>
        </w:rPr>
        <w:t>）投标人有串通投标、弄虚作假、行贿等违法行为。</w:t>
      </w:r>
    </w:p>
    <w:p w14:paraId="2EDE635A">
      <w:pPr>
        <w:spacing w:line="360" w:lineRule="auto"/>
        <w:ind w:firstLine="420" w:firstLineChars="200"/>
        <w:rPr>
          <w:rFonts w:hint="eastAsia"/>
          <w:color w:val="000000"/>
          <w:sz w:val="21"/>
          <w:szCs w:val="21"/>
          <w:highlight w:val="none"/>
          <w:lang w:val="en-US"/>
        </w:rPr>
      </w:pPr>
      <w:r>
        <w:rPr>
          <w:rFonts w:hint="eastAsia"/>
          <w:color w:val="000000"/>
          <w:sz w:val="21"/>
          <w:szCs w:val="21"/>
          <w:highlight w:val="none"/>
          <w:lang w:val="en-US"/>
        </w:rPr>
        <w:t>6.4中标候选人公示内容应包括招标人及其委托的代理机构的名称、地址、联系方式，项目名称和项目编号，中标候选人名</w:t>
      </w:r>
      <w:r>
        <w:rPr>
          <w:rFonts w:hint="eastAsia"/>
          <w:sz w:val="21"/>
          <w:szCs w:val="21"/>
          <w:highlight w:val="none"/>
          <w:lang w:val="en-US"/>
        </w:rPr>
        <w:t>称及排序、</w:t>
      </w:r>
      <w:r>
        <w:rPr>
          <w:rFonts w:hint="eastAsia"/>
          <w:color w:val="000000"/>
          <w:sz w:val="21"/>
          <w:szCs w:val="21"/>
          <w:highlight w:val="none"/>
          <w:lang w:val="en-US"/>
        </w:rPr>
        <w:t>交货期和投标报价，经评审认可的</w:t>
      </w:r>
      <w:r>
        <w:rPr>
          <w:rFonts w:hint="eastAsia"/>
          <w:color w:val="000000"/>
          <w:sz w:val="21"/>
          <w:szCs w:val="21"/>
          <w:highlight w:val="none"/>
        </w:rPr>
        <w:t>中标候选人业绩</w:t>
      </w:r>
      <w:r>
        <w:rPr>
          <w:rFonts w:hint="eastAsia"/>
          <w:color w:val="000000"/>
          <w:sz w:val="21"/>
          <w:szCs w:val="21"/>
          <w:highlight w:val="none"/>
          <w:lang w:val="en-US"/>
        </w:rPr>
        <w:t>（如有）</w:t>
      </w:r>
      <w:r>
        <w:rPr>
          <w:rFonts w:hint="eastAsia"/>
          <w:color w:val="000000"/>
          <w:sz w:val="21"/>
          <w:szCs w:val="21"/>
          <w:highlight w:val="none"/>
        </w:rPr>
        <w:t>，</w:t>
      </w:r>
      <w:r>
        <w:rPr>
          <w:rFonts w:hint="eastAsia"/>
          <w:color w:val="000000"/>
          <w:sz w:val="21"/>
          <w:szCs w:val="21"/>
          <w:highlight w:val="none"/>
          <w:lang w:val="en-US"/>
        </w:rPr>
        <w:t>评标被否决单位及原因（如有），公示期限</w:t>
      </w:r>
      <w:r>
        <w:rPr>
          <w:rFonts w:hint="eastAsia" w:ascii="宋体" w:hAnsi="宋体"/>
          <w:color w:val="000000"/>
          <w:sz w:val="21"/>
          <w:szCs w:val="21"/>
          <w:highlight w:val="none"/>
          <w:lang w:val="en-US" w:eastAsia="zh-CN"/>
        </w:rPr>
        <w:t>。</w:t>
      </w:r>
    </w:p>
    <w:p w14:paraId="6D044E73"/>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Microsoft JhengHei">
    <w:panose1 w:val="020B0604030504040204"/>
    <w:charset w:val="88"/>
    <w:family w:val="swiss"/>
    <w:pitch w:val="default"/>
    <w:sig w:usb0="000002A7" w:usb1="28CF4400" w:usb2="00000016" w:usb3="00000000" w:csb0="00100009" w:csb1="00000000"/>
  </w:font>
  <w:font w:name="仿宋">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37B0749"/>
    <w:multiLevelType w:val="singleLevel"/>
    <w:tmpl w:val="C37B0749"/>
    <w:lvl w:ilvl="0" w:tentative="0">
      <w:start w:val="1"/>
      <w:numFmt w:val="decimal"/>
      <w:lvlText w:val="%1."/>
      <w:lvlJc w:val="left"/>
      <w:pPr>
        <w:ind w:left="425" w:hanging="425"/>
      </w:pPr>
      <w:rPr>
        <w:rFonts w:hint="default"/>
      </w:rPr>
    </w:lvl>
  </w:abstractNum>
  <w:abstractNum w:abstractNumId="1">
    <w:nsid w:val="71DC035A"/>
    <w:multiLevelType w:val="singleLevel"/>
    <w:tmpl w:val="71DC035A"/>
    <w:lvl w:ilvl="0" w:tentative="0">
      <w:start w:val="5"/>
      <w:numFmt w:val="decimal"/>
      <w:lvlText w:val="%1."/>
      <w:lvlJc w:val="left"/>
      <w:pPr>
        <w:tabs>
          <w:tab w:val="left" w:pos="312"/>
        </w:tabs>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CC764F4"/>
    <w:rsid w:val="0CC764F4"/>
    <w:rsid w:val="4151646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qFormat="1" w:unhideWhenUsed="0" w:uiPriority="99"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1"/>
    <w:pPr>
      <w:widowControl w:val="0"/>
      <w:autoSpaceDE w:val="0"/>
      <w:autoSpaceDN w:val="0"/>
    </w:pPr>
    <w:rPr>
      <w:rFonts w:ascii="宋体" w:hAnsi="宋体" w:eastAsia="宋体" w:cs="宋体"/>
      <w:sz w:val="22"/>
      <w:szCs w:val="22"/>
      <w:lang w:val="zh-CN" w:eastAsia="zh-CN" w:bidi="zh-CN"/>
    </w:rPr>
  </w:style>
  <w:style w:type="paragraph" w:styleId="3">
    <w:name w:val="heading 1"/>
    <w:basedOn w:val="1"/>
    <w:next w:val="1"/>
    <w:qFormat/>
    <w:uiPriority w:val="1"/>
    <w:pPr>
      <w:spacing w:line="702" w:lineRule="exact"/>
      <w:ind w:right="297"/>
      <w:jc w:val="center"/>
      <w:outlineLvl w:val="0"/>
    </w:pPr>
    <w:rPr>
      <w:rFonts w:ascii="Microsoft JhengHei" w:hAnsi="Microsoft JhengHei" w:eastAsia="Microsoft JhengHei" w:cs="Microsoft JhengHei"/>
      <w:b/>
      <w:bCs/>
      <w:sz w:val="44"/>
      <w:szCs w:val="44"/>
      <w:lang w:val="zh-CN" w:eastAsia="zh-CN" w:bidi="zh-CN"/>
    </w:rPr>
  </w:style>
  <w:style w:type="character" w:default="1" w:styleId="11">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2">
    <w:name w:val="index 4"/>
    <w:basedOn w:val="1"/>
    <w:next w:val="1"/>
    <w:qFormat/>
    <w:uiPriority w:val="99"/>
    <w:pPr>
      <w:ind w:left="600" w:leftChars="600"/>
    </w:pPr>
    <w:rPr>
      <w:szCs w:val="24"/>
    </w:rPr>
  </w:style>
  <w:style w:type="paragraph" w:styleId="4">
    <w:name w:val="annotation text"/>
    <w:basedOn w:val="1"/>
    <w:qFormat/>
    <w:uiPriority w:val="0"/>
    <w:pPr>
      <w:jc w:val="left"/>
    </w:pPr>
  </w:style>
  <w:style w:type="paragraph" w:styleId="5">
    <w:name w:val="Body Text"/>
    <w:basedOn w:val="1"/>
    <w:next w:val="1"/>
    <w:qFormat/>
    <w:uiPriority w:val="1"/>
    <w:rPr>
      <w:rFonts w:ascii="宋体" w:hAnsi="宋体" w:eastAsia="宋体" w:cs="宋体"/>
      <w:sz w:val="21"/>
      <w:szCs w:val="21"/>
      <w:lang w:val="zh-CN" w:eastAsia="zh-CN" w:bidi="zh-CN"/>
    </w:rPr>
  </w:style>
  <w:style w:type="paragraph" w:styleId="6">
    <w:name w:val="Body Text Indent"/>
    <w:basedOn w:val="1"/>
    <w:next w:val="7"/>
    <w:qFormat/>
    <w:uiPriority w:val="0"/>
    <w:pPr>
      <w:ind w:firstLine="560" w:firstLineChars="200"/>
    </w:pPr>
    <w:rPr>
      <w:rFonts w:ascii="宋体" w:hAnsi="宋体"/>
      <w:bCs/>
      <w:sz w:val="28"/>
      <w:szCs w:val="32"/>
    </w:rPr>
  </w:style>
  <w:style w:type="paragraph" w:styleId="7">
    <w:name w:val="envelope return"/>
    <w:basedOn w:val="1"/>
    <w:qFormat/>
    <w:uiPriority w:val="0"/>
    <w:pPr>
      <w:snapToGrid w:val="0"/>
    </w:pPr>
    <w:rPr>
      <w:rFonts w:ascii="Arial" w:hAnsi="Arial"/>
    </w:rPr>
  </w:style>
  <w:style w:type="paragraph" w:styleId="8">
    <w:name w:val="Body Text First Indent 2"/>
    <w:basedOn w:val="6"/>
    <w:next w:val="1"/>
    <w:unhideWhenUsed/>
    <w:qFormat/>
    <w:uiPriority w:val="99"/>
    <w:pPr>
      <w:spacing w:after="120"/>
      <w:ind w:left="420" w:leftChars="200" w:firstLine="420"/>
    </w:pPr>
    <w:rPr>
      <w:rFonts w:ascii="Times New Roman" w:hAnsi="Times New Roman"/>
      <w:bCs w:val="0"/>
      <w:sz w:val="21"/>
      <w:szCs w:val="24"/>
    </w:rPr>
  </w:style>
  <w:style w:type="table" w:styleId="10">
    <w:name w:val="Table Grid"/>
    <w:basedOn w:val="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2">
    <w:name w:val="正文_0_0"/>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3">
    <w:name w:val="表格文字"/>
    <w:basedOn w:val="1"/>
    <w:next w:val="5"/>
    <w:qFormat/>
    <w:uiPriority w:val="0"/>
    <w:pPr>
      <w:spacing w:before="25" w:after="25"/>
      <w:jc w:val="left"/>
    </w:pPr>
    <w:rPr>
      <w:rFonts w:ascii="Times New Roman" w:hAnsi="Times New Roman"/>
      <w:bCs/>
      <w:spacing w:val="10"/>
      <w:kern w:val="0"/>
      <w:sz w:val="24"/>
      <w:szCs w:val="20"/>
    </w:rPr>
  </w:style>
  <w:style w:type="paragraph" w:styleId="14">
    <w:name w:val="List Paragraph"/>
    <w:basedOn w:val="1"/>
    <w:qFormat/>
    <w:uiPriority w:val="1"/>
    <w:pPr>
      <w:ind w:left="400" w:firstLine="419"/>
    </w:pPr>
    <w:rPr>
      <w:rFonts w:ascii="宋体" w:hAnsi="宋体" w:eastAsia="宋体" w:cs="宋体"/>
      <w:lang w:val="zh-CN" w:eastAsia="zh-CN" w:bidi="zh-CN"/>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8</Pages>
  <Words>5475</Words>
  <Characters>5815</Characters>
  <Lines>0</Lines>
  <Paragraphs>0</Paragraphs>
  <TotalTime>0</TotalTime>
  <ScaleCrop>false</ScaleCrop>
  <LinksUpToDate>false</LinksUpToDate>
  <CharactersWithSpaces>5859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2025-04-01T06:21:00Z</dcterms:created>
  <dc:creator>Mima</dc:creator>
  <cp:lastModifiedBy>Mima</cp:lastModifiedBy>
  <dcterms:modified xsi:type="dcterms:W3CDTF">2025-04-01T07:11:37Z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B1AF25133EEF4FC2BA64E4FDBE9B1C91_11</vt:lpwstr>
  </property>
  <property fmtid="{D5CDD505-2E9C-101B-9397-08002B2CF9AE}" pid="4" name="KSOTemplateDocerSaveRecord">
    <vt:lpwstr>eyJoZGlkIjoiYzc4Mzc3MzQyYjUwNDRhZmEzMWY3NWY5MzFlMmU3NTciLCJ1c2VySWQiOiI0MjQ0NDg4MzYifQ==</vt:lpwstr>
  </property>
</Properties>
</file>