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0" w:leftChars="-200" w:hanging="380" w:hangingChars="86"/>
        <w:jc w:val="center"/>
        <w:rPr>
          <w:b/>
          <w:bCs/>
          <w:sz w:val="44"/>
          <w:szCs w:val="44"/>
        </w:rPr>
      </w:pPr>
    </w:p>
    <w:p>
      <w:pPr>
        <w:jc w:val="center"/>
        <w:rPr>
          <w:rFonts w:ascii="宋体" w:hAnsi="宋体"/>
          <w:color w:val="000000"/>
          <w:sz w:val="48"/>
          <w:szCs w:val="44"/>
        </w:rPr>
      </w:pPr>
      <w:r>
        <w:rPr>
          <w:rFonts w:hint="eastAsia" w:ascii="宋体" w:hAnsi="宋体"/>
          <w:color w:val="000000"/>
          <w:sz w:val="48"/>
          <w:szCs w:val="44"/>
        </w:rPr>
        <w:t>芜湖市政府采购项目</w:t>
      </w:r>
    </w:p>
    <w:p>
      <w:pPr>
        <w:jc w:val="center"/>
        <w:rPr>
          <w:rFonts w:ascii="黑体" w:eastAsia="黑体"/>
          <w:color w:val="000000"/>
          <w:sz w:val="96"/>
          <w:szCs w:val="72"/>
        </w:rPr>
      </w:pPr>
    </w:p>
    <w:p>
      <w:pPr>
        <w:spacing w:line="300" w:lineRule="auto"/>
        <w:jc w:val="center"/>
        <w:rPr>
          <w:rFonts w:ascii="黑体"/>
          <w:bCs/>
          <w:color w:val="000000"/>
          <w:sz w:val="56"/>
          <w:szCs w:val="52"/>
        </w:rPr>
      </w:pPr>
      <w:r>
        <w:rPr>
          <w:rFonts w:hint="eastAsia" w:ascii="黑体"/>
          <w:bCs/>
          <w:color w:val="000000"/>
          <w:sz w:val="56"/>
          <w:szCs w:val="52"/>
        </w:rPr>
        <w:t>竞争性磋商文件</w:t>
      </w:r>
    </w:p>
    <w:p>
      <w:pPr>
        <w:spacing w:line="560" w:lineRule="exact"/>
        <w:jc w:val="center"/>
        <w:rPr>
          <w:rFonts w:ascii="仿宋_GB2312" w:eastAsia="仿宋_GB2312"/>
          <w:color w:val="000000"/>
          <w:sz w:val="32"/>
          <w:szCs w:val="28"/>
        </w:rPr>
      </w:pPr>
      <w:r>
        <w:rPr>
          <w:rFonts w:hint="eastAsia" w:ascii="仿宋_GB2312" w:eastAsia="仿宋_GB2312"/>
          <w:color w:val="000000"/>
          <w:sz w:val="32"/>
          <w:szCs w:val="28"/>
        </w:rPr>
        <w:t>（服务）</w:t>
      </w:r>
    </w:p>
    <w:p>
      <w:pPr>
        <w:spacing w:line="560" w:lineRule="exact"/>
        <w:jc w:val="center"/>
        <w:rPr>
          <w:rFonts w:ascii="仿宋_GB2312" w:eastAsia="仿宋_GB2312"/>
          <w:color w:val="000000"/>
          <w:sz w:val="32"/>
          <w:szCs w:val="28"/>
        </w:rPr>
      </w:pPr>
    </w:p>
    <w:p>
      <w:pPr>
        <w:spacing w:line="560" w:lineRule="exact"/>
        <w:ind w:firstLine="2240" w:firstLineChars="700"/>
        <w:rPr>
          <w:rFonts w:hint="eastAsia" w:ascii="宋体" w:hAnsi="宋体" w:eastAsiaTheme="minorEastAsia"/>
          <w:color w:val="000000"/>
          <w:sz w:val="32"/>
          <w:szCs w:val="28"/>
          <w:lang w:eastAsia="zh-CN"/>
        </w:rPr>
      </w:pPr>
      <w:r>
        <w:rPr>
          <w:rFonts w:hint="eastAsia" w:ascii="宋体" w:hAnsi="宋体"/>
          <w:color w:val="000000"/>
          <w:sz w:val="32"/>
          <w:szCs w:val="28"/>
        </w:rPr>
        <w:t>项目编号：</w:t>
      </w:r>
      <w:r>
        <w:rPr>
          <w:rFonts w:hint="eastAsia" w:ascii="宋体" w:hAnsi="宋体"/>
          <w:color w:val="000000"/>
          <w:sz w:val="32"/>
          <w:szCs w:val="28"/>
          <w:lang w:val="en-US" w:eastAsia="zh-CN"/>
        </w:rPr>
        <w:t xml:space="preserve">AHZP2021FW0322 </w:t>
      </w:r>
    </w:p>
    <w:p>
      <w:pPr>
        <w:spacing w:line="560" w:lineRule="exact"/>
        <w:ind w:firstLine="2240" w:firstLineChars="700"/>
        <w:rPr>
          <w:rFonts w:ascii="宋体" w:hAnsi="宋体"/>
          <w:color w:val="000000"/>
          <w:sz w:val="32"/>
          <w:szCs w:val="28"/>
        </w:rPr>
      </w:pPr>
      <w:r>
        <w:rPr>
          <w:rFonts w:hint="eastAsia" w:ascii="宋体" w:hAnsi="宋体"/>
          <w:color w:val="000000"/>
          <w:sz w:val="32"/>
          <w:szCs w:val="28"/>
        </w:rPr>
        <w:t>项目名称：芜湖宣州机场综合交通枢纽规划</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ind w:firstLine="2240" w:firstLineChars="700"/>
        <w:rPr>
          <w:rFonts w:ascii="宋体" w:hAnsi="宋体"/>
          <w:color w:val="000000"/>
          <w:sz w:val="32"/>
          <w:szCs w:val="28"/>
        </w:rPr>
      </w:pPr>
      <w:r>
        <w:rPr>
          <w:rFonts w:hint="eastAsia" w:ascii="宋体" w:hAnsi="宋体"/>
          <w:color w:val="000000"/>
          <w:sz w:val="32"/>
          <w:szCs w:val="28"/>
        </w:rPr>
        <w:t>招 标 人：芜湖市发展和改革委员会</w:t>
      </w:r>
    </w:p>
    <w:p>
      <w:pPr>
        <w:spacing w:line="560" w:lineRule="exact"/>
        <w:ind w:firstLine="2240" w:firstLineChars="700"/>
        <w:rPr>
          <w:rFonts w:ascii="仿宋_GB2312" w:eastAsia="仿宋_GB2312"/>
          <w:color w:val="000000"/>
          <w:sz w:val="32"/>
          <w:szCs w:val="28"/>
        </w:rPr>
      </w:pPr>
      <w:r>
        <w:rPr>
          <w:rFonts w:hint="eastAsia" w:ascii="宋体" w:hAnsi="宋体"/>
          <w:color w:val="000000"/>
          <w:sz w:val="32"/>
          <w:szCs w:val="28"/>
        </w:rPr>
        <w:t>代理机构：安徽泽普项目管理咨询有限公司</w:t>
      </w:r>
      <w:r>
        <w:rPr>
          <w:rFonts w:hint="eastAsia" w:ascii="宋体" w:hAnsi="宋体"/>
          <w:color w:val="000000"/>
          <w:sz w:val="32"/>
          <w:szCs w:val="28"/>
        </w:rPr>
        <w:tab/>
      </w:r>
    </w:p>
    <w:p>
      <w:pPr>
        <w:jc w:val="center"/>
        <w:rPr>
          <w:rFonts w:ascii="宋体" w:hAnsi="宋体"/>
          <w:color w:val="000000"/>
          <w:sz w:val="32"/>
          <w:szCs w:val="28"/>
        </w:rPr>
      </w:pPr>
      <w:r>
        <w:rPr>
          <w:rFonts w:hint="eastAsia" w:ascii="宋体" w:hAnsi="宋体"/>
          <w:color w:val="000000"/>
          <w:sz w:val="32"/>
          <w:szCs w:val="28"/>
          <w:lang w:val="en-US" w:eastAsia="zh-CN"/>
        </w:rPr>
        <w:t>2021</w:t>
      </w:r>
      <w:r>
        <w:rPr>
          <w:rFonts w:hint="eastAsia" w:ascii="宋体" w:hAnsi="宋体"/>
          <w:color w:val="000000"/>
          <w:sz w:val="32"/>
          <w:szCs w:val="28"/>
        </w:rPr>
        <w:t>年</w:t>
      </w:r>
      <w:r>
        <w:rPr>
          <w:rFonts w:hint="eastAsia" w:ascii="宋体" w:hAnsi="宋体"/>
          <w:color w:val="000000"/>
          <w:sz w:val="32"/>
          <w:szCs w:val="28"/>
          <w:lang w:val="en-US" w:eastAsia="zh-CN"/>
        </w:rPr>
        <w:t>03</w:t>
      </w:r>
      <w:r>
        <w:rPr>
          <w:rFonts w:hint="eastAsia" w:ascii="宋体" w:hAnsi="宋体"/>
          <w:color w:val="000000"/>
          <w:sz w:val="32"/>
          <w:szCs w:val="28"/>
        </w:rPr>
        <w:t>月</w:t>
      </w:r>
      <w:r>
        <w:rPr>
          <w:rFonts w:hint="eastAsia" w:ascii="宋体" w:hAnsi="宋体"/>
          <w:color w:val="000000"/>
          <w:sz w:val="32"/>
          <w:szCs w:val="28"/>
          <w:lang w:val="en-US" w:eastAsia="zh-CN"/>
        </w:rPr>
        <w:t>29</w:t>
      </w:r>
      <w:r>
        <w:rPr>
          <w:rFonts w:hint="eastAsia" w:ascii="宋体" w:hAnsi="宋体"/>
          <w:color w:val="000000"/>
          <w:sz w:val="32"/>
          <w:szCs w:val="28"/>
        </w:rPr>
        <w:t>日</w:t>
      </w:r>
    </w:p>
    <w:p>
      <w:pPr>
        <w:jc w:val="center"/>
        <w:rPr>
          <w:rFonts w:ascii="宋体" w:hAnsi="宋体"/>
          <w:color w:val="000000"/>
          <w:sz w:val="32"/>
          <w:szCs w:val="28"/>
        </w:rPr>
      </w:pPr>
    </w:p>
    <w:p>
      <w:pPr>
        <w:spacing w:line="500" w:lineRule="exact"/>
        <w:jc w:val="center"/>
        <w:rPr>
          <w:rFonts w:ascii="宋体"/>
          <w:b/>
          <w:bCs/>
          <w:sz w:val="44"/>
          <w:szCs w:val="44"/>
        </w:rPr>
      </w:pPr>
      <w:r>
        <w:rPr>
          <w:spacing w:val="20"/>
          <w:kern w:val="0"/>
          <w:sz w:val="32"/>
          <w:szCs w:val="32"/>
        </w:rPr>
        <w:br w:type="page"/>
      </w:r>
      <w:r>
        <w:rPr>
          <w:rFonts w:hint="eastAsia" w:ascii="宋体" w:hAnsi="宋体" w:cs="宋体"/>
          <w:b/>
          <w:bCs/>
          <w:sz w:val="44"/>
          <w:szCs w:val="44"/>
        </w:rPr>
        <w:t>目录</w:t>
      </w:r>
    </w:p>
    <w:p>
      <w:pPr>
        <w:spacing w:line="500" w:lineRule="exact"/>
        <w:jc w:val="center"/>
        <w:rPr>
          <w:rFonts w:ascii="宋体"/>
          <w:b/>
          <w:bCs/>
          <w:sz w:val="44"/>
          <w:szCs w:val="44"/>
        </w:rPr>
      </w:pPr>
    </w:p>
    <w:p>
      <w:pPr>
        <w:snapToGrid w:val="0"/>
        <w:spacing w:line="360" w:lineRule="auto"/>
        <w:jc w:val="left"/>
        <w:rPr>
          <w:rFonts w:ascii="宋体"/>
          <w:b/>
          <w:bCs/>
          <w:sz w:val="28"/>
          <w:szCs w:val="28"/>
        </w:rPr>
      </w:pPr>
      <w:r>
        <w:fldChar w:fldCharType="begin"/>
      </w:r>
      <w:r>
        <w:instrText xml:space="preserve"> HYPERLINK \l "_Toc438648485" </w:instrText>
      </w:r>
      <w:r>
        <w:fldChar w:fldCharType="separate"/>
      </w:r>
      <w:r>
        <w:rPr>
          <w:rFonts w:hint="eastAsia" w:ascii="宋体" w:hAnsi="宋体" w:cs="宋体"/>
          <w:sz w:val="28"/>
          <w:szCs w:val="28"/>
        </w:rPr>
        <w:t>一、竞争性</w:t>
      </w:r>
      <w:r>
        <w:rPr>
          <w:rFonts w:hint="eastAsia" w:ascii="宋体" w:hAnsi="宋体" w:cs="宋体"/>
          <w:sz w:val="28"/>
          <w:szCs w:val="28"/>
          <w:lang w:eastAsia="zh-CN"/>
        </w:rPr>
        <w:t>磋商邀请公告</w:t>
      </w:r>
      <w:r>
        <w:rPr>
          <w:rFonts w:hint="eastAsia" w:ascii="宋体" w:hAnsi="宋体" w:cs="宋体"/>
          <w:sz w:val="28"/>
          <w:szCs w:val="28"/>
        </w:rPr>
        <w:fldChar w:fldCharType="end"/>
      </w:r>
    </w:p>
    <w:p>
      <w:pPr>
        <w:snapToGrid w:val="0"/>
        <w:spacing w:line="360" w:lineRule="auto"/>
        <w:jc w:val="left"/>
        <w:rPr>
          <w:rFonts w:ascii="宋体"/>
          <w:b/>
          <w:bCs/>
          <w:sz w:val="28"/>
          <w:szCs w:val="28"/>
        </w:rPr>
      </w:pPr>
      <w:r>
        <w:fldChar w:fldCharType="begin"/>
      </w:r>
      <w:r>
        <w:instrText xml:space="preserve"> HYPERLINK \l "_Toc438648486" </w:instrText>
      </w:r>
      <w:r>
        <w:fldChar w:fldCharType="separate"/>
      </w:r>
      <w:r>
        <w:rPr>
          <w:rFonts w:hint="eastAsia" w:ascii="宋体" w:hAnsi="宋体" w:cs="宋体"/>
          <w:sz w:val="28"/>
          <w:szCs w:val="28"/>
        </w:rPr>
        <w:t>二、投标供应商须知</w:t>
      </w:r>
      <w:r>
        <w:rPr>
          <w:rFonts w:ascii="宋体"/>
          <w:b/>
          <w:bCs/>
          <w:sz w:val="28"/>
          <w:szCs w:val="28"/>
        </w:rPr>
        <w:tab/>
      </w:r>
      <w:r>
        <w:rPr>
          <w:rFonts w:ascii="宋体"/>
          <w:b/>
          <w:bCs/>
          <w:sz w:val="28"/>
          <w:szCs w:val="28"/>
        </w:rPr>
        <w:fldChar w:fldCharType="end"/>
      </w:r>
    </w:p>
    <w:p>
      <w:pPr>
        <w:snapToGrid w:val="0"/>
        <w:spacing w:line="360" w:lineRule="auto"/>
        <w:jc w:val="left"/>
        <w:rPr>
          <w:rFonts w:ascii="宋体"/>
          <w:b/>
          <w:bCs/>
          <w:sz w:val="28"/>
          <w:szCs w:val="28"/>
        </w:rPr>
      </w:pPr>
      <w:r>
        <w:fldChar w:fldCharType="begin"/>
      </w:r>
      <w:r>
        <w:instrText xml:space="preserve"> HYPERLINK \l "_Toc438648487" </w:instrText>
      </w:r>
      <w:r>
        <w:fldChar w:fldCharType="separate"/>
      </w:r>
      <w:r>
        <w:rPr>
          <w:rFonts w:hint="eastAsia" w:ascii="宋体" w:hAnsi="宋体" w:cs="宋体"/>
          <w:sz w:val="28"/>
          <w:szCs w:val="28"/>
        </w:rPr>
        <w:t>三、</w:t>
      </w:r>
      <w:r>
        <w:rPr>
          <w:rFonts w:hint="eastAsia" w:ascii="宋体" w:hAnsi="宋体" w:cs="宋体"/>
          <w:sz w:val="28"/>
          <w:szCs w:val="28"/>
        </w:rPr>
        <w:fldChar w:fldCharType="end"/>
      </w:r>
      <w:r>
        <w:rPr>
          <w:rFonts w:hint="eastAsia" w:ascii="宋体" w:hAnsi="宋体" w:cs="宋体"/>
          <w:sz w:val="28"/>
          <w:szCs w:val="28"/>
        </w:rPr>
        <w:t>政府</w:t>
      </w:r>
      <w:r>
        <w:fldChar w:fldCharType="begin"/>
      </w:r>
      <w:r>
        <w:instrText xml:space="preserve"> HYPERLINK \l "_Toc438648496" </w:instrText>
      </w:r>
      <w:r>
        <w:fldChar w:fldCharType="separate"/>
      </w:r>
      <w:r>
        <w:rPr>
          <w:rFonts w:hint="eastAsia" w:ascii="宋体" w:hAnsi="宋体" w:cs="宋体"/>
          <w:sz w:val="28"/>
          <w:szCs w:val="28"/>
        </w:rPr>
        <w:t>采购合同</w:t>
      </w:r>
      <w:r>
        <w:rPr>
          <w:rFonts w:hint="eastAsia" w:ascii="宋体" w:hAnsi="宋体" w:cs="宋体"/>
          <w:sz w:val="28"/>
          <w:szCs w:val="28"/>
        </w:rPr>
        <w:fldChar w:fldCharType="end"/>
      </w:r>
    </w:p>
    <w:p>
      <w:pPr>
        <w:snapToGrid w:val="0"/>
        <w:spacing w:line="360" w:lineRule="auto"/>
        <w:jc w:val="left"/>
        <w:rPr>
          <w:rFonts w:ascii="宋体" w:hAnsi="宋体" w:cs="宋体"/>
          <w:sz w:val="28"/>
          <w:szCs w:val="28"/>
        </w:rPr>
      </w:pPr>
      <w:r>
        <w:rPr>
          <w:rFonts w:hint="eastAsia" w:ascii="宋体" w:hAnsi="宋体" w:cs="宋体"/>
          <w:sz w:val="28"/>
          <w:szCs w:val="28"/>
        </w:rPr>
        <w:t>四、</w:t>
      </w:r>
      <w:r>
        <w:fldChar w:fldCharType="begin"/>
      </w:r>
      <w:r>
        <w:instrText xml:space="preserve"> HYPERLINK \l "_Toc438648496" </w:instrText>
      </w:r>
      <w:r>
        <w:fldChar w:fldCharType="separate"/>
      </w:r>
      <w:r>
        <w:rPr>
          <w:rFonts w:hint="eastAsia" w:ascii="宋体" w:hAnsi="宋体" w:cs="宋体"/>
          <w:sz w:val="28"/>
          <w:szCs w:val="28"/>
        </w:rPr>
        <w:t>采购项目需求</w:t>
      </w:r>
      <w:r>
        <w:rPr>
          <w:rFonts w:hint="eastAsia" w:ascii="宋体" w:hAnsi="宋体" w:cs="宋体"/>
          <w:sz w:val="28"/>
          <w:szCs w:val="28"/>
        </w:rPr>
        <w:fldChar w:fldCharType="end"/>
      </w:r>
      <w:r>
        <w:rPr>
          <w:rFonts w:hint="eastAsia" w:ascii="宋体" w:hAnsi="宋体" w:cs="宋体"/>
          <w:sz w:val="28"/>
          <w:szCs w:val="28"/>
        </w:rPr>
        <w:t>及具体要求</w:t>
      </w:r>
    </w:p>
    <w:p>
      <w:pPr>
        <w:snapToGrid w:val="0"/>
        <w:spacing w:line="360" w:lineRule="auto"/>
        <w:jc w:val="left"/>
        <w:rPr>
          <w:rFonts w:ascii="宋体" w:hAnsi="宋体" w:cs="宋体"/>
          <w:sz w:val="28"/>
          <w:szCs w:val="28"/>
        </w:rPr>
      </w:pPr>
      <w:r>
        <w:rPr>
          <w:rFonts w:hint="eastAsia" w:ascii="宋体" w:hAnsi="宋体" w:cs="宋体"/>
          <w:sz w:val="28"/>
          <w:szCs w:val="28"/>
        </w:rPr>
        <w:t>五、评审程序、办法和标准</w:t>
      </w:r>
    </w:p>
    <w:p>
      <w:pPr>
        <w:snapToGrid w:val="0"/>
        <w:spacing w:line="360" w:lineRule="auto"/>
        <w:jc w:val="left"/>
        <w:rPr>
          <w:rFonts w:ascii="宋体" w:hAnsi="宋体" w:cs="宋体"/>
          <w:sz w:val="28"/>
          <w:szCs w:val="28"/>
        </w:rPr>
      </w:pPr>
      <w:r>
        <w:rPr>
          <w:rFonts w:hint="eastAsia" w:ascii="宋体" w:hAnsi="宋体" w:cs="宋体"/>
          <w:sz w:val="28"/>
          <w:szCs w:val="28"/>
        </w:rPr>
        <w:t>六、竞争性磋商须知</w:t>
      </w:r>
    </w:p>
    <w:p>
      <w:pPr>
        <w:snapToGrid w:val="0"/>
        <w:spacing w:line="360" w:lineRule="auto"/>
        <w:jc w:val="left"/>
        <w:rPr>
          <w:rFonts w:ascii="宋体" w:hAnsi="宋体" w:cs="宋体"/>
          <w:sz w:val="28"/>
          <w:szCs w:val="28"/>
        </w:rPr>
      </w:pPr>
      <w:r>
        <w:rPr>
          <w:rFonts w:hint="eastAsia" w:ascii="宋体" w:hAnsi="宋体" w:cs="宋体"/>
          <w:sz w:val="28"/>
          <w:szCs w:val="28"/>
        </w:rPr>
        <w:t>七、响应文件格式</w:t>
      </w:r>
    </w:p>
    <w:p>
      <w:pPr>
        <w:keepNext w:val="0"/>
        <w:keepLines w:val="0"/>
        <w:pageBreakBefore w:val="0"/>
        <w:widowControl/>
        <w:kinsoku/>
        <w:wordWrap/>
        <w:overflowPunct/>
        <w:topLinePunct w:val="0"/>
        <w:bidi w:val="0"/>
        <w:snapToGrid w:val="0"/>
        <w:spacing w:line="360" w:lineRule="auto"/>
        <w:ind w:left="29" w:firstLine="560"/>
        <w:jc w:val="center"/>
        <w:textAlignment w:val="auto"/>
        <w:rPr>
          <w:rFonts w:hint="eastAsia" w:ascii="宋体" w:hAnsi="宋体" w:eastAsia="宋体" w:cs="宋体"/>
          <w:color w:val="000000"/>
          <w:sz w:val="24"/>
          <w:szCs w:val="24"/>
        </w:rPr>
      </w:pPr>
      <w:r>
        <w:rPr>
          <w:rFonts w:eastAsia="黑体"/>
          <w:sz w:val="32"/>
          <w:szCs w:val="32"/>
        </w:rPr>
        <w:br w:type="page"/>
      </w:r>
      <w:bookmarkStart w:id="0" w:name="_Hlk13586256"/>
      <w:bookmarkStart w:id="1" w:name="_Hlk39648029"/>
      <w:bookmarkStart w:id="2" w:name="_Hlk39663443"/>
      <w:r>
        <w:rPr>
          <w:rFonts w:hint="eastAsia" w:ascii="宋体" w:hAnsi="宋体" w:eastAsia="宋体" w:cs="宋体"/>
          <w:sz w:val="24"/>
          <w:szCs w:val="24"/>
          <w:u w:val="single"/>
        </w:rPr>
        <w:t>芜湖宣州机场综合交通枢纽规划</w:t>
      </w:r>
      <w:r>
        <w:rPr>
          <w:rFonts w:hint="eastAsia" w:ascii="宋体" w:hAnsi="宋体" w:eastAsia="宋体" w:cs="宋体"/>
          <w:color w:val="000000"/>
          <w:sz w:val="24"/>
          <w:szCs w:val="24"/>
        </w:rPr>
        <w:t>竞争性磋商</w:t>
      </w:r>
      <w:r>
        <w:rPr>
          <w:rFonts w:hint="eastAsia" w:ascii="宋体" w:hAnsi="宋体" w:eastAsia="宋体" w:cs="宋体"/>
          <w:color w:val="000000"/>
          <w:sz w:val="24"/>
          <w:szCs w:val="24"/>
          <w:lang w:val="en-US" w:eastAsia="zh-CN"/>
        </w:rPr>
        <w:t>邀请</w:t>
      </w:r>
      <w:r>
        <w:rPr>
          <w:rFonts w:hint="eastAsia" w:ascii="宋体" w:hAnsi="宋体" w:eastAsia="宋体" w:cs="宋体"/>
          <w:color w:val="000000"/>
          <w:sz w:val="24"/>
          <w:szCs w:val="24"/>
        </w:rPr>
        <w:t>公告</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color w:val="333333"/>
          <w:kern w:val="2"/>
          <w:sz w:val="24"/>
          <w:szCs w:val="24"/>
          <w:u w:val="single"/>
        </w:rPr>
        <w:t>芜湖宣州机场综合交通枢纽规划</w:t>
      </w:r>
      <w:r>
        <w:rPr>
          <w:rFonts w:hint="eastAsia" w:ascii="宋体" w:hAnsi="宋体" w:eastAsia="宋体" w:cs="宋体"/>
          <w:sz w:val="24"/>
          <w:szCs w:val="24"/>
        </w:rPr>
        <w:t>（项目名称）采购项目的潜在供应商应在</w:t>
      </w:r>
      <w:r>
        <w:rPr>
          <w:rFonts w:hint="eastAsia" w:ascii="宋体" w:hAnsi="宋体" w:cs="宋体"/>
          <w:sz w:val="24"/>
          <w:szCs w:val="24"/>
          <w:u w:val="single"/>
        </w:rPr>
        <w:t>芜湖市城市之光B2地块634室</w:t>
      </w:r>
      <w:r>
        <w:rPr>
          <w:rFonts w:hint="eastAsia" w:ascii="宋体" w:hAnsi="宋体" w:eastAsia="宋体" w:cs="宋体"/>
          <w:sz w:val="24"/>
          <w:szCs w:val="24"/>
        </w:rPr>
        <w:t>获取采购文件，并于</w:t>
      </w:r>
      <w:r>
        <w:rPr>
          <w:rFonts w:hint="eastAsia" w:ascii="宋体" w:hAnsi="宋体" w:eastAsia="宋体" w:cs="宋体"/>
          <w:color w:val="FF0000"/>
          <w:sz w:val="24"/>
          <w:szCs w:val="24"/>
          <w:u w:val="single"/>
          <w:lang w:val="en-US" w:eastAsia="zh-CN"/>
        </w:rPr>
        <w:t>2021</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04</w:t>
      </w:r>
      <w:r>
        <w:rPr>
          <w:rFonts w:hint="eastAsia" w:ascii="宋体" w:hAnsi="宋体" w:eastAsia="宋体" w:cs="宋体"/>
          <w:color w:val="FF0000"/>
          <w:sz w:val="24"/>
          <w:szCs w:val="24"/>
          <w:u w:val="single"/>
        </w:rPr>
        <w:t>月</w:t>
      </w:r>
      <w:r>
        <w:rPr>
          <w:rFonts w:hint="eastAsia" w:ascii="宋体" w:hAnsi="宋体" w:eastAsia="宋体" w:cs="宋体"/>
          <w:color w:val="FF0000"/>
          <w:sz w:val="24"/>
          <w:szCs w:val="24"/>
          <w:u w:val="single"/>
          <w:lang w:val="en-US" w:eastAsia="zh-CN"/>
        </w:rPr>
        <w:t>09</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u w:val="single"/>
          <w:lang w:val="en-US" w:eastAsia="zh-CN"/>
        </w:rPr>
        <w:t>14</w:t>
      </w:r>
      <w:r>
        <w:rPr>
          <w:rFonts w:hint="eastAsia" w:ascii="宋体" w:hAnsi="宋体" w:eastAsia="宋体" w:cs="宋体"/>
          <w:color w:val="FF0000"/>
          <w:sz w:val="24"/>
          <w:szCs w:val="24"/>
          <w:u w:val="single"/>
        </w:rPr>
        <w:t>点</w:t>
      </w:r>
      <w:r>
        <w:rPr>
          <w:rFonts w:hint="eastAsia" w:ascii="宋体" w:hAnsi="宋体" w:eastAsia="宋体" w:cs="宋体"/>
          <w:color w:val="FF0000"/>
          <w:sz w:val="24"/>
          <w:szCs w:val="24"/>
          <w:u w:val="single"/>
          <w:lang w:val="en-US" w:eastAsia="zh-CN"/>
        </w:rPr>
        <w:t>30</w:t>
      </w:r>
      <w:r>
        <w:rPr>
          <w:rFonts w:hint="eastAsia" w:ascii="宋体" w:hAnsi="宋体" w:eastAsia="宋体" w:cs="宋体"/>
          <w:color w:val="FF0000"/>
          <w:sz w:val="24"/>
          <w:szCs w:val="24"/>
          <w:u w:val="single"/>
        </w:rPr>
        <w:t>分</w:t>
      </w:r>
      <w:r>
        <w:rPr>
          <w:rFonts w:hint="eastAsia" w:ascii="宋体" w:hAnsi="宋体" w:eastAsia="宋体" w:cs="宋体"/>
          <w:sz w:val="24"/>
          <w:szCs w:val="24"/>
        </w:rPr>
        <w:t>（北京时间）前提交响应文件。</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sz w:val="24"/>
          <w:szCs w:val="24"/>
        </w:rPr>
        <w:t>一、</w:t>
      </w:r>
      <w:r>
        <w:rPr>
          <w:rFonts w:hint="eastAsia" w:ascii="宋体" w:hAnsi="宋体" w:eastAsia="宋体" w:cs="宋体"/>
          <w:b/>
          <w:bCs/>
          <w:color w:val="auto"/>
          <w:sz w:val="24"/>
          <w:szCs w:val="24"/>
        </w:rPr>
        <w:t>项目基本情况：</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color w:val="auto"/>
          <w:sz w:val="24"/>
          <w:szCs w:val="24"/>
        </w:rPr>
      </w:pPr>
      <w:bookmarkStart w:id="3" w:name="_Hlk27473954"/>
      <w:r>
        <w:rPr>
          <w:rFonts w:hint="eastAsia" w:ascii="宋体" w:hAnsi="宋体" w:eastAsia="宋体" w:cs="宋体"/>
          <w:color w:val="auto"/>
          <w:sz w:val="24"/>
          <w:szCs w:val="24"/>
        </w:rPr>
        <w:t>1、项目编号：</w:t>
      </w:r>
      <w:r>
        <w:rPr>
          <w:rFonts w:hint="eastAsia" w:ascii="宋体" w:hAnsi="宋体" w:eastAsia="宋体" w:cs="宋体"/>
          <w:color w:val="auto"/>
          <w:sz w:val="24"/>
          <w:szCs w:val="24"/>
          <w:lang w:val="en-US" w:eastAsia="zh-CN"/>
        </w:rPr>
        <w:t>AHZP2021FW0322</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2、项目名称：芜湖宣州机场综合交通枢纽规</w:t>
      </w:r>
      <w:r>
        <w:rPr>
          <w:rFonts w:hint="eastAsia" w:ascii="宋体" w:hAnsi="宋体" w:eastAsia="宋体" w:cs="宋体"/>
          <w:sz w:val="24"/>
          <w:szCs w:val="24"/>
        </w:rPr>
        <w:t>划</w:t>
      </w:r>
      <w:r>
        <w:rPr>
          <w:rFonts w:hint="eastAsia" w:ascii="宋体" w:hAnsi="宋体" w:eastAsia="宋体" w:cs="宋体"/>
          <w:sz w:val="24"/>
          <w:szCs w:val="24"/>
          <w:lang w:val="en-US" w:eastAsia="zh-CN"/>
        </w:rPr>
        <w:t>（本项目投标文件须为纸质文件）</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3、采购方式：竞争性磋商</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4、资金来源：□省级财政资金,</w:t>
      </w:r>
      <w:r>
        <w:rPr>
          <w:rFonts w:hint="eastAsia" w:ascii="宋体" w:hAnsi="宋体"/>
        </w:rPr>
        <w:t>√</w:t>
      </w:r>
      <w:r>
        <w:rPr>
          <w:rFonts w:hint="eastAsia" w:ascii="宋体" w:hAnsi="宋体" w:eastAsia="宋体" w:cs="宋体"/>
          <w:sz w:val="24"/>
          <w:szCs w:val="24"/>
        </w:rPr>
        <w:t>市本级财政资金,□县区级财政资金,□自筹资金,□其他（请说明资金来源及比例）：</w:t>
      </w:r>
      <w:r>
        <w:rPr>
          <w:rFonts w:hint="eastAsia" w:ascii="宋体" w:hAnsi="宋体" w:eastAsia="宋体" w:cs="宋体"/>
          <w:sz w:val="24"/>
          <w:szCs w:val="24"/>
          <w:lang w:val="en-US" w:eastAsia="zh-CN"/>
        </w:rPr>
        <w:t>100%</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5、预算金额：1000000</w:t>
      </w:r>
      <w:r>
        <w:rPr>
          <w:rFonts w:hint="eastAsia" w:ascii="宋体" w:hAnsi="宋体" w:eastAsia="宋体" w:cs="宋体"/>
          <w:sz w:val="24"/>
          <w:szCs w:val="24"/>
          <w:lang w:val="en-US" w:eastAsia="zh-CN"/>
        </w:rPr>
        <w:t>元</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6、最高限价（如有）：1000000</w:t>
      </w:r>
      <w:r>
        <w:rPr>
          <w:rFonts w:hint="eastAsia" w:ascii="宋体" w:hAnsi="宋体" w:eastAsia="宋体" w:cs="宋体"/>
          <w:sz w:val="24"/>
          <w:szCs w:val="24"/>
          <w:lang w:val="en-US" w:eastAsia="zh-CN"/>
        </w:rPr>
        <w:t>元</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7、采购需求：芜湖宣州机场综合交通枢纽规划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具体详见磋商文件</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8、合同履行期限：2021年10月30日前提交全套规划成果并通过专家评审，2021年12月31日前修改完善并提交最终成果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9、本项目（否）接受联合体。</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2、独立法人资格：是</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3、落实政府采购政策需满足的资格要求：</w:t>
      </w:r>
      <w:r>
        <w:rPr>
          <w:rFonts w:hint="eastAsia" w:ascii="宋体" w:hAnsi="宋体" w:eastAsia="宋体" w:cs="宋体"/>
          <w:sz w:val="24"/>
          <w:szCs w:val="24"/>
          <w:lang w:val="en-US" w:eastAsia="zh-CN"/>
        </w:rPr>
        <w:t>无</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4、本项目的特定资格要求：具有城乡规划甲级（注：住建部2018年12月29日不再受理城乡规划编制单位甲级资质申报的公告，但资质并未取消。本项目资质证书有效期在2018年12月审核周期或2018年12月之后即可；如相关主管部门有最新政策，按最新政策执行）。项目负责人：具有高级职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5、收到代理机构或采购人邀请的</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6、投标供应商需符合下列情形之一（不良行为记录以《芜湖市公共资源交易投标人（供应商）不良行</w:t>
      </w:r>
      <w:r>
        <w:rPr>
          <w:rFonts w:hint="eastAsia" w:ascii="宋体" w:hAnsi="宋体" w:eastAsia="宋体" w:cs="宋体"/>
          <w:sz w:val="24"/>
          <w:szCs w:val="24"/>
          <w:highlight w:val="none"/>
        </w:rPr>
        <w:t>为</w:t>
      </w:r>
      <w:r>
        <w:rPr>
          <w:rFonts w:hint="eastAsia" w:ascii="宋体" w:hAnsi="宋体"/>
          <w:sz w:val="24"/>
          <w:szCs w:val="24"/>
          <w:highlight w:val="none"/>
          <w:lang w:val="en-US" w:eastAsia="zh-CN"/>
        </w:rPr>
        <w:t>信息记录</w:t>
      </w:r>
      <w:r>
        <w:rPr>
          <w:rFonts w:hint="eastAsia" w:ascii="宋体" w:hAnsi="宋体" w:eastAsia="宋体" w:cs="宋体"/>
          <w:sz w:val="24"/>
          <w:szCs w:val="24"/>
          <w:highlight w:val="none"/>
        </w:rPr>
        <w:t>披露</w:t>
      </w:r>
      <w:r>
        <w:rPr>
          <w:rFonts w:hint="eastAsia" w:ascii="宋体" w:hAnsi="宋体" w:eastAsia="宋体" w:cs="宋体"/>
          <w:sz w:val="24"/>
          <w:szCs w:val="24"/>
        </w:rPr>
        <w:t>管理暂行办法》为准）：</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（1）开标日前两年内未被芜湖市公共资源交易管理局披露记不良行为记录或记不良行为记录累计未满10分的；</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（2）最近一次被芜湖市公共资源交易管理局披露记不良行为记录或记不良行为记录累计记分达10分（含10分）至15分的，开标日距披露日期超过6个月；</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（3）最近一次被芜湖市公共资源交易管理局披露记不良行为记录或记不良行为记录累计记分达15分（含15分）至20分的，开标日距披露日期超过12个月；</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（4）最近一次被芜湖市公共资源交易管理局披露记不良行为记录或记不良行为记录累计记分达20分（含20分）及以上的，开标日距披露日期超过24个月。</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sz w:val="24"/>
          <w:szCs w:val="24"/>
        </w:rPr>
        <w:t>1、时间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03</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09:00</w:t>
      </w:r>
      <w:r>
        <w:rPr>
          <w:rFonts w:hint="eastAsia" w:ascii="宋体" w:hAnsi="宋体" w:eastAsia="宋体" w:cs="宋体"/>
          <w:color w:val="auto"/>
          <w:sz w:val="24"/>
          <w:szCs w:val="24"/>
          <w:u w:val="single"/>
        </w:rPr>
        <w:t>时至</w:t>
      </w:r>
      <w:r>
        <w:rPr>
          <w:rFonts w:hint="eastAsia" w:ascii="宋体" w:hAnsi="宋体" w:eastAsia="宋体" w:cs="宋体"/>
          <w:color w:val="auto"/>
          <w:sz w:val="24"/>
          <w:szCs w:val="24"/>
          <w:u w:val="single"/>
          <w:lang w:val="en-US" w:eastAsia="zh-CN"/>
        </w:rPr>
        <w:t>2021</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04</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06</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17:00</w:t>
      </w:r>
      <w:r>
        <w:rPr>
          <w:rFonts w:hint="eastAsia" w:ascii="宋体" w:hAnsi="宋体" w:eastAsia="宋体" w:cs="宋体"/>
          <w:color w:val="auto"/>
          <w:sz w:val="24"/>
          <w:szCs w:val="24"/>
          <w:u w:val="single"/>
        </w:rPr>
        <w:t>时</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cs="宋体" w:eastAsiaTheme="minorEastAsia"/>
          <w:color w:val="auto"/>
          <w:sz w:val="24"/>
          <w:szCs w:val="24"/>
          <w:lang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rPr>
        <w:t>芜湖市城市之光B2地块634室</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3、方式：</w:t>
      </w:r>
      <w:r>
        <w:rPr>
          <w:rFonts w:hint="eastAsia" w:ascii="宋体" w:hAnsi="宋体" w:eastAsia="宋体" w:cs="宋体"/>
          <w:color w:val="auto"/>
          <w:sz w:val="24"/>
          <w:szCs w:val="24"/>
          <w:lang w:val="en-US" w:eastAsia="zh-CN"/>
        </w:rPr>
        <w:t>以邮箱形式发送</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4、售价：/</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color w:val="FF0000"/>
          <w:sz w:val="24"/>
          <w:szCs w:val="24"/>
          <w:u w:val="single"/>
        </w:rPr>
      </w:pPr>
      <w:r>
        <w:rPr>
          <w:rFonts w:hint="eastAsia" w:ascii="宋体" w:hAnsi="宋体" w:eastAsia="宋体" w:cs="宋体"/>
          <w:sz w:val="24"/>
          <w:szCs w:val="24"/>
        </w:rPr>
        <w:t>1、截止时间</w:t>
      </w:r>
      <w:r>
        <w:rPr>
          <w:rFonts w:hint="eastAsia" w:ascii="宋体" w:hAnsi="宋体" w:eastAsia="宋体" w:cs="宋体"/>
          <w:sz w:val="24"/>
          <w:szCs w:val="24"/>
          <w:u w:val="none"/>
        </w:rPr>
        <w:t>：</w:t>
      </w:r>
      <w:r>
        <w:rPr>
          <w:rFonts w:hint="eastAsia" w:ascii="宋体" w:hAnsi="宋体" w:eastAsia="宋体" w:cs="宋体"/>
          <w:color w:val="FF0000"/>
          <w:sz w:val="24"/>
          <w:szCs w:val="24"/>
          <w:u w:val="single"/>
          <w:lang w:val="en-US" w:eastAsia="zh-CN"/>
        </w:rPr>
        <w:t>2021</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04</w:t>
      </w:r>
      <w:r>
        <w:rPr>
          <w:rFonts w:hint="eastAsia" w:ascii="宋体" w:hAnsi="宋体" w:eastAsia="宋体" w:cs="宋体"/>
          <w:color w:val="FF0000"/>
          <w:sz w:val="24"/>
          <w:szCs w:val="24"/>
          <w:u w:val="single"/>
        </w:rPr>
        <w:t>月</w:t>
      </w:r>
      <w:r>
        <w:rPr>
          <w:rFonts w:hint="eastAsia" w:ascii="宋体" w:hAnsi="宋体" w:eastAsia="宋体" w:cs="宋体"/>
          <w:color w:val="FF0000"/>
          <w:sz w:val="24"/>
          <w:szCs w:val="24"/>
          <w:u w:val="single"/>
          <w:lang w:val="en-US" w:eastAsia="zh-CN"/>
        </w:rPr>
        <w:t>09</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u w:val="single"/>
          <w:lang w:val="en-US" w:eastAsia="zh-CN"/>
        </w:rPr>
        <w:t>14</w:t>
      </w:r>
      <w:r>
        <w:rPr>
          <w:rFonts w:hint="eastAsia" w:ascii="宋体" w:hAnsi="宋体" w:eastAsia="宋体" w:cs="宋体"/>
          <w:color w:val="FF0000"/>
          <w:sz w:val="24"/>
          <w:szCs w:val="24"/>
          <w:u w:val="single"/>
        </w:rPr>
        <w:t>点</w:t>
      </w:r>
      <w:r>
        <w:rPr>
          <w:rFonts w:hint="eastAsia" w:ascii="宋体" w:hAnsi="宋体" w:eastAsia="宋体" w:cs="宋体"/>
          <w:color w:val="FF0000"/>
          <w:sz w:val="24"/>
          <w:szCs w:val="24"/>
          <w:u w:val="single"/>
          <w:lang w:val="en-US" w:eastAsia="zh-CN"/>
        </w:rPr>
        <w:t>30</w:t>
      </w:r>
      <w:r>
        <w:rPr>
          <w:rFonts w:hint="eastAsia" w:ascii="宋体" w:hAnsi="宋体" w:eastAsia="宋体" w:cs="宋体"/>
          <w:color w:val="FF0000"/>
          <w:sz w:val="24"/>
          <w:szCs w:val="24"/>
          <w:u w:val="single"/>
        </w:rPr>
        <w:t>分（北京时间）</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cs="宋体"/>
          <w:sz w:val="24"/>
          <w:szCs w:val="24"/>
        </w:rPr>
        <w:t>芜湖市城市之光B2地块</w:t>
      </w:r>
      <w:r>
        <w:rPr>
          <w:rFonts w:hint="eastAsia" w:ascii="宋体" w:hAnsi="宋体" w:cs="宋体"/>
          <w:sz w:val="24"/>
          <w:szCs w:val="24"/>
          <w:lang w:val="en-US" w:eastAsia="zh-CN"/>
        </w:rPr>
        <w:t>738</w:t>
      </w:r>
      <w:r>
        <w:rPr>
          <w:rFonts w:hint="eastAsia" w:ascii="宋体" w:hAnsi="宋体" w:cs="宋体"/>
          <w:sz w:val="24"/>
          <w:szCs w:val="24"/>
        </w:rPr>
        <w:t>室（苏宁环球大酒店对面西南边）</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五、开启</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color w:val="FF0000"/>
          <w:sz w:val="24"/>
          <w:szCs w:val="24"/>
          <w:u w:val="single"/>
          <w:lang w:val="en-US" w:eastAsia="zh-CN"/>
        </w:rPr>
        <w:t>2021</w:t>
      </w:r>
      <w:r>
        <w:rPr>
          <w:rFonts w:hint="eastAsia" w:ascii="宋体" w:hAnsi="宋体" w:eastAsia="宋体" w:cs="宋体"/>
          <w:color w:val="FF0000"/>
          <w:sz w:val="24"/>
          <w:szCs w:val="24"/>
          <w:u w:val="single"/>
        </w:rPr>
        <w:t>年</w:t>
      </w:r>
      <w:r>
        <w:rPr>
          <w:rFonts w:hint="eastAsia" w:ascii="宋体" w:hAnsi="宋体" w:eastAsia="宋体" w:cs="宋体"/>
          <w:color w:val="FF0000"/>
          <w:sz w:val="24"/>
          <w:szCs w:val="24"/>
          <w:u w:val="single"/>
          <w:lang w:val="en-US" w:eastAsia="zh-CN"/>
        </w:rPr>
        <w:t>04</w:t>
      </w:r>
      <w:r>
        <w:rPr>
          <w:rFonts w:hint="eastAsia" w:ascii="宋体" w:hAnsi="宋体" w:eastAsia="宋体" w:cs="宋体"/>
          <w:color w:val="FF0000"/>
          <w:sz w:val="24"/>
          <w:szCs w:val="24"/>
          <w:u w:val="single"/>
        </w:rPr>
        <w:t>月</w:t>
      </w:r>
      <w:r>
        <w:rPr>
          <w:rFonts w:hint="eastAsia" w:ascii="宋体" w:hAnsi="宋体" w:eastAsia="宋体" w:cs="宋体"/>
          <w:color w:val="FF0000"/>
          <w:sz w:val="24"/>
          <w:szCs w:val="24"/>
          <w:u w:val="single"/>
          <w:lang w:val="en-US" w:eastAsia="zh-CN"/>
        </w:rPr>
        <w:t>09</w:t>
      </w:r>
      <w:r>
        <w:rPr>
          <w:rFonts w:hint="eastAsia" w:ascii="宋体" w:hAnsi="宋体" w:eastAsia="宋体" w:cs="宋体"/>
          <w:color w:val="FF0000"/>
          <w:sz w:val="24"/>
          <w:szCs w:val="24"/>
          <w:u w:val="single"/>
        </w:rPr>
        <w:t>日</w:t>
      </w:r>
      <w:r>
        <w:rPr>
          <w:rFonts w:hint="eastAsia" w:ascii="宋体" w:hAnsi="宋体" w:eastAsia="宋体" w:cs="宋体"/>
          <w:color w:val="FF0000"/>
          <w:sz w:val="24"/>
          <w:szCs w:val="24"/>
          <w:u w:val="single"/>
          <w:lang w:val="en-US" w:eastAsia="zh-CN"/>
        </w:rPr>
        <w:t>14</w:t>
      </w:r>
      <w:r>
        <w:rPr>
          <w:rFonts w:hint="eastAsia" w:ascii="宋体" w:hAnsi="宋体" w:eastAsia="宋体" w:cs="宋体"/>
          <w:color w:val="FF0000"/>
          <w:sz w:val="24"/>
          <w:szCs w:val="24"/>
          <w:u w:val="single"/>
        </w:rPr>
        <w:t>点</w:t>
      </w:r>
      <w:r>
        <w:rPr>
          <w:rFonts w:hint="eastAsia" w:ascii="宋体" w:hAnsi="宋体" w:eastAsia="宋体" w:cs="宋体"/>
          <w:color w:val="FF0000"/>
          <w:sz w:val="24"/>
          <w:szCs w:val="24"/>
          <w:u w:val="single"/>
          <w:lang w:val="en-US" w:eastAsia="zh-CN"/>
        </w:rPr>
        <w:t>30</w:t>
      </w:r>
      <w:r>
        <w:rPr>
          <w:rFonts w:hint="eastAsia" w:ascii="宋体" w:hAnsi="宋体" w:eastAsia="宋体" w:cs="宋体"/>
          <w:color w:val="FF0000"/>
          <w:sz w:val="24"/>
          <w:szCs w:val="24"/>
          <w:u w:val="single"/>
        </w:rPr>
        <w:t>分（北京时间）</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cs="宋体"/>
          <w:sz w:val="24"/>
          <w:szCs w:val="24"/>
        </w:rPr>
        <w:t>芜湖市城市之光B2地块</w:t>
      </w:r>
      <w:r>
        <w:rPr>
          <w:rFonts w:hint="eastAsia" w:ascii="宋体" w:hAnsi="宋体" w:cs="宋体"/>
          <w:sz w:val="24"/>
          <w:szCs w:val="24"/>
          <w:lang w:val="en-US" w:eastAsia="zh-CN"/>
        </w:rPr>
        <w:t>738</w:t>
      </w:r>
      <w:r>
        <w:rPr>
          <w:rFonts w:hint="eastAsia" w:ascii="宋体" w:hAnsi="宋体" w:cs="宋体"/>
          <w:sz w:val="24"/>
          <w:szCs w:val="24"/>
        </w:rPr>
        <w:t>室（苏宁环球大酒店对面西南边）</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六、公告期限</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磋商保证金</w:t>
      </w:r>
      <w:r>
        <w:rPr>
          <w:rFonts w:hint="eastAsia" w:ascii="宋体" w:hAnsi="宋体" w:eastAsia="宋体" w:cs="宋体"/>
          <w:sz w:val="24"/>
          <w:szCs w:val="24"/>
        </w:rPr>
        <w:t>缴纳：</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val="0"/>
        <w:snapToGrid/>
        <w:spacing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八、凡对本次采购提出询问，请按以下方式联系</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名    称：芜湖市发展和改革委员会　　　　　　　　　　　　</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安徽省芜湖市鸠江区</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color w:val="333333"/>
          <w:kern w:val="2"/>
          <w:sz w:val="24"/>
          <w:szCs w:val="24"/>
        </w:rPr>
        <w:t>18055355683</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名    称：安徽泽普项目管理咨询有限公司　　　　　　　　　　　　</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地　　址：安徽省淮北市相山区梅苑路66号金水河畔(北区)116幢101室　　　　　　　　　　　　</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18655380550</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殷工</w:t>
      </w:r>
    </w:p>
    <w:p>
      <w:pPr>
        <w:keepNext w:val="0"/>
        <w:keepLines w:val="0"/>
        <w:pageBreakBefore w:val="0"/>
        <w:widowControl w:val="0"/>
        <w:kinsoku/>
        <w:wordWrap/>
        <w:overflowPunct/>
        <w:topLinePunct w:val="0"/>
        <w:autoSpaceDE w:val="0"/>
        <w:autoSpaceDN w:val="0"/>
        <w:bidi w:val="0"/>
        <w:adjustRightInd w:val="0"/>
        <w:snapToGrid/>
        <w:spacing w:line="312" w:lineRule="auto"/>
        <w:ind w:firstLine="960" w:firstLineChars="400"/>
        <w:jc w:val="left"/>
        <w:textAlignment w:val="auto"/>
        <w:rPr>
          <w:rFonts w:hint="eastAsia" w:ascii="宋体" w:hAnsi="宋体" w:eastAsia="宋体" w:cs="宋体"/>
          <w:b/>
          <w:bCs/>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18655380550</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right"/>
        <w:textAlignment w:val="auto"/>
        <w:rPr>
          <w:rFonts w:hint="eastAsia" w:ascii="宋体" w:hAnsi="宋体" w:eastAsia="宋体" w:cs="宋体"/>
          <w:sz w:val="24"/>
          <w:szCs w:val="24"/>
        </w:rPr>
      </w:pPr>
      <w:r>
        <w:rPr>
          <w:rFonts w:hint="eastAsia" w:ascii="宋体" w:hAnsi="宋体" w:eastAsia="宋体" w:cs="宋体"/>
          <w:sz w:val="24"/>
          <w:szCs w:val="24"/>
        </w:rPr>
        <w:t>采购人：芜湖市发展和改革委员会</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right"/>
        <w:textAlignment w:val="auto"/>
        <w:rPr>
          <w:rFonts w:hint="eastAsia" w:ascii="宋体" w:hAnsi="宋体" w:eastAsia="宋体" w:cs="宋体"/>
          <w:sz w:val="24"/>
          <w:szCs w:val="24"/>
        </w:rPr>
      </w:pPr>
      <w:r>
        <w:rPr>
          <w:rFonts w:hint="eastAsia" w:ascii="宋体" w:hAnsi="宋体" w:eastAsia="宋体" w:cs="宋体"/>
          <w:sz w:val="24"/>
          <w:szCs w:val="24"/>
        </w:rPr>
        <w:t>代理机构：安徽泽普项目管理咨询有限公司</w:t>
      </w:r>
    </w:p>
    <w:p>
      <w:pPr>
        <w:keepNext w:val="0"/>
        <w:keepLines w:val="0"/>
        <w:pageBreakBefore w:val="0"/>
        <w:widowControl w:val="0"/>
        <w:kinsoku/>
        <w:wordWrap/>
        <w:overflowPunct/>
        <w:topLinePunct w:val="0"/>
        <w:autoSpaceDE w:val="0"/>
        <w:autoSpaceDN w:val="0"/>
        <w:bidi w:val="0"/>
        <w:adjustRightInd w:val="0"/>
        <w:snapToGrid/>
        <w:spacing w:line="312" w:lineRule="auto"/>
        <w:ind w:firstLine="720" w:firstLineChars="30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p>
    <w:bookmarkEnd w:id="0"/>
    <w:bookmarkEnd w:id="1"/>
    <w:bookmarkEnd w:id="3"/>
    <w:p>
      <w:pPr>
        <w:widowControl/>
        <w:shd w:val="clear" w:color="auto" w:fill="FFFFFF"/>
        <w:spacing w:beforeLines="50" w:afterLines="50" w:line="360" w:lineRule="atLeast"/>
        <w:outlineLvl w:val="0"/>
        <w:rPr>
          <w:rFonts w:ascii="宋体" w:hAnsi="宋体"/>
          <w:b/>
          <w:color w:val="000000"/>
          <w:sz w:val="40"/>
        </w:rPr>
      </w:pPr>
    </w:p>
    <w:bookmarkEnd w:id="2"/>
    <w:p>
      <w:pPr>
        <w:spacing w:line="276" w:lineRule="auto"/>
        <w:jc w:val="center"/>
        <w:rPr>
          <w:rFonts w:ascii="宋体" w:hAnsi="宋体"/>
          <w:b/>
        </w:rPr>
      </w:pPr>
      <w:r>
        <w:rPr>
          <w:rFonts w:hint="eastAsia" w:ascii="宋体" w:hAnsi="宋体"/>
          <w:b/>
          <w:sz w:val="28"/>
        </w:rPr>
        <w:t>第二章 投标供应商须知</w:t>
      </w:r>
    </w:p>
    <w:tbl>
      <w:tblPr>
        <w:tblStyle w:val="25"/>
        <w:tblW w:w="9072"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59"/>
        <w:gridCol w:w="68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bookmarkStart w:id="4" w:name="_Hlk38271456"/>
            <w:r>
              <w:rPr>
                <w:rFonts w:hint="eastAsia" w:ascii="宋体" w:hAnsi="宋体"/>
              </w:rPr>
              <w:t>序号</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内容</w:t>
            </w:r>
          </w:p>
        </w:tc>
        <w:tc>
          <w:tcPr>
            <w:tcW w:w="6804" w:type="dxa"/>
            <w:vAlign w:val="center"/>
          </w:tcPr>
          <w:p>
            <w:pPr>
              <w:adjustRightInd w:val="0"/>
              <w:snapToGrid w:val="0"/>
              <w:spacing w:beforeLines="50" w:line="360" w:lineRule="auto"/>
              <w:rPr>
                <w:rFonts w:ascii="宋体" w:hAnsi="宋体"/>
              </w:rPr>
            </w:pPr>
            <w:r>
              <w:rPr>
                <w:rFonts w:hint="eastAsia" w:ascii="宋体" w:hAnsi="宋体"/>
              </w:rPr>
              <w:t>说明和要求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1</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采购人</w:t>
            </w:r>
          </w:p>
        </w:tc>
        <w:tc>
          <w:tcPr>
            <w:tcW w:w="6804" w:type="dxa"/>
            <w:vAlign w:val="center"/>
          </w:tcPr>
          <w:p>
            <w:pPr>
              <w:spacing w:line="360" w:lineRule="exact"/>
              <w:rPr>
                <w:rFonts w:ascii="宋体" w:hAnsi="宋体"/>
              </w:rPr>
            </w:pPr>
            <w:r>
              <w:rPr>
                <w:rFonts w:hint="eastAsia" w:ascii="宋体" w:hAnsi="宋体"/>
              </w:rPr>
              <w:t>芜湖市发展和改革委员会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2</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项目名称</w:t>
            </w:r>
          </w:p>
        </w:tc>
        <w:tc>
          <w:tcPr>
            <w:tcW w:w="6804" w:type="dxa"/>
            <w:vAlign w:val="center"/>
          </w:tcPr>
          <w:p>
            <w:pPr>
              <w:adjustRightInd w:val="0"/>
              <w:snapToGrid w:val="0"/>
              <w:spacing w:beforeLines="50" w:line="360" w:lineRule="auto"/>
              <w:rPr>
                <w:rFonts w:ascii="宋体" w:hAnsi="宋体"/>
                <w:b/>
                <w:bCs/>
                <w:u w:val="single"/>
              </w:rPr>
            </w:pPr>
            <w:r>
              <w:rPr>
                <w:rFonts w:hint="eastAsia" w:ascii="宋体" w:hAnsi="宋体"/>
                <w:b w:val="0"/>
                <w:bCs w:val="0"/>
                <w:u w:val="single"/>
              </w:rPr>
              <w:t>芜湖宣州机场综合交通枢纽规划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3</w:t>
            </w:r>
          </w:p>
        </w:tc>
        <w:tc>
          <w:tcPr>
            <w:tcW w:w="1559" w:type="dxa"/>
            <w:vAlign w:val="center"/>
          </w:tcPr>
          <w:p>
            <w:pPr>
              <w:adjustRightInd w:val="0"/>
              <w:snapToGrid w:val="0"/>
              <w:spacing w:beforeLines="50" w:line="360" w:lineRule="auto"/>
              <w:jc w:val="center"/>
              <w:rPr>
                <w:rFonts w:ascii="宋体" w:hAnsi="宋体"/>
                <w:color w:val="auto"/>
              </w:rPr>
            </w:pPr>
            <w:r>
              <w:rPr>
                <w:rFonts w:hint="eastAsia" w:ascii="宋体" w:hAnsi="宋体"/>
                <w:color w:val="auto"/>
              </w:rPr>
              <w:t>项目编号</w:t>
            </w:r>
          </w:p>
        </w:tc>
        <w:tc>
          <w:tcPr>
            <w:tcW w:w="6804" w:type="dxa"/>
            <w:vAlign w:val="center"/>
          </w:tcPr>
          <w:p>
            <w:pPr>
              <w:autoSpaceDE w:val="0"/>
              <w:autoSpaceDN w:val="0"/>
              <w:adjustRightInd w:val="0"/>
              <w:spacing w:line="360" w:lineRule="auto"/>
              <w:jc w:val="left"/>
              <w:rPr>
                <w:rFonts w:ascii="宋体" w:hAnsi="宋体"/>
                <w:color w:val="auto"/>
              </w:rPr>
            </w:pPr>
            <w:r>
              <w:rPr>
                <w:rFonts w:hint="eastAsia" w:ascii="宋体" w:hAnsi="宋体" w:eastAsia="宋体" w:cs="宋体"/>
                <w:color w:val="auto"/>
                <w:sz w:val="24"/>
                <w:szCs w:val="24"/>
                <w:lang w:val="en-US" w:eastAsia="zh-CN"/>
              </w:rPr>
              <w:t>AHZP2021FW0322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4</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项目预算</w:t>
            </w:r>
          </w:p>
        </w:tc>
        <w:tc>
          <w:tcPr>
            <w:tcW w:w="6804" w:type="dxa"/>
            <w:vAlign w:val="center"/>
          </w:tcPr>
          <w:p>
            <w:pPr>
              <w:autoSpaceDE w:val="0"/>
              <w:autoSpaceDN w:val="0"/>
              <w:adjustRightInd w:val="0"/>
              <w:spacing w:line="360" w:lineRule="auto"/>
              <w:jc w:val="left"/>
              <w:rPr>
                <w:rFonts w:hint="eastAsia" w:ascii="宋体" w:hAnsi="宋体" w:eastAsia="宋体"/>
                <w:lang w:val="en-US" w:eastAsia="zh-CN"/>
              </w:rPr>
            </w:pPr>
            <w:r>
              <w:rPr>
                <w:rFonts w:hint="eastAsia" w:ascii="宋体" w:hAnsi="宋体" w:eastAsia="宋体" w:cs="宋体"/>
                <w:color w:val="333333"/>
                <w:kern w:val="2"/>
                <w:sz w:val="24"/>
                <w:szCs w:val="24"/>
              </w:rPr>
              <w:t>1000000</w:t>
            </w:r>
            <w:r>
              <w:rPr>
                <w:rFonts w:hint="eastAsia" w:ascii="宋体" w:hAnsi="宋体" w:eastAsia="宋体" w:cs="宋体"/>
                <w:color w:val="333333"/>
                <w:kern w:val="2"/>
                <w:sz w:val="24"/>
                <w:szCs w:val="24"/>
                <w:lang w:val="en-US" w:eastAsia="zh-CN"/>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pPr>
              <w:adjustRightInd w:val="0"/>
              <w:snapToGrid w:val="0"/>
              <w:spacing w:beforeLines="50" w:line="360" w:lineRule="auto"/>
              <w:jc w:val="center"/>
              <w:rPr>
                <w:rFonts w:ascii="宋体" w:hAnsi="宋体"/>
              </w:rPr>
            </w:pPr>
            <w:r>
              <w:rPr>
                <w:rFonts w:hint="eastAsia" w:ascii="宋体" w:hAnsi="宋体"/>
              </w:rPr>
              <w:t>5</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包别划分</w:t>
            </w:r>
          </w:p>
        </w:tc>
        <w:tc>
          <w:tcPr>
            <w:tcW w:w="6804" w:type="dxa"/>
            <w:vAlign w:val="center"/>
          </w:tcPr>
          <w:p>
            <w:pPr>
              <w:adjustRightInd w:val="0"/>
              <w:snapToGrid w:val="0"/>
              <w:spacing w:beforeLines="50" w:line="360" w:lineRule="auto"/>
              <w:rPr>
                <w:rFonts w:hint="eastAsia" w:ascii="宋体" w:hAnsi="宋体" w:eastAsiaTheme="minorEastAsia"/>
                <w:lang w:eastAsia="zh-CN"/>
              </w:rPr>
            </w:pPr>
            <w:r>
              <w:rPr>
                <w:rFonts w:hint="eastAsia" w:ascii="宋体" w:hAnsi="宋体"/>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6</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投标时间及地点</w:t>
            </w:r>
          </w:p>
        </w:tc>
        <w:tc>
          <w:tcPr>
            <w:tcW w:w="6804" w:type="dxa"/>
            <w:vAlign w:val="center"/>
          </w:tcPr>
          <w:p>
            <w:pPr>
              <w:adjustRightInd w:val="0"/>
              <w:snapToGrid w:val="0"/>
              <w:spacing w:beforeLines="50" w:line="460" w:lineRule="exact"/>
              <w:rPr>
                <w:rFonts w:hint="eastAsia" w:ascii="宋体" w:hAnsi="宋体" w:eastAsiaTheme="minorEastAsia"/>
                <w:lang w:eastAsia="zh-CN"/>
              </w:rPr>
            </w:pPr>
            <w:r>
              <w:rPr>
                <w:rFonts w:hint="eastAsia" w:ascii="宋体" w:hAnsi="宋体"/>
              </w:rPr>
              <w:t>详见竞争性</w:t>
            </w:r>
            <w:r>
              <w:rPr>
                <w:rFonts w:hint="eastAsia" w:ascii="宋体" w:hAnsi="宋体"/>
                <w:lang w:eastAsia="zh-CN"/>
              </w:rPr>
              <w:t>磋商邀请公告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7</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开标时间及地点</w:t>
            </w:r>
          </w:p>
        </w:tc>
        <w:tc>
          <w:tcPr>
            <w:tcW w:w="6804" w:type="dxa"/>
            <w:vAlign w:val="center"/>
          </w:tcPr>
          <w:p>
            <w:pPr>
              <w:spacing w:line="460" w:lineRule="exact"/>
              <w:rPr>
                <w:rFonts w:hint="eastAsia" w:ascii="宋体" w:hAnsi="宋体" w:eastAsiaTheme="minorEastAsia"/>
                <w:lang w:eastAsia="zh-CN"/>
              </w:rPr>
            </w:pPr>
            <w:r>
              <w:rPr>
                <w:rFonts w:hint="eastAsia" w:ascii="宋体" w:hAnsi="宋体"/>
              </w:rPr>
              <w:t>详见竞争性</w:t>
            </w:r>
            <w:r>
              <w:rPr>
                <w:rFonts w:hint="eastAsia" w:ascii="宋体" w:hAnsi="宋体"/>
                <w:lang w:eastAsia="zh-CN"/>
              </w:rPr>
              <w:t>磋商邀请公告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8</w:t>
            </w:r>
          </w:p>
        </w:tc>
        <w:tc>
          <w:tcPr>
            <w:tcW w:w="1559" w:type="dxa"/>
            <w:vAlign w:val="center"/>
          </w:tcPr>
          <w:p>
            <w:pPr>
              <w:spacing w:line="360" w:lineRule="exact"/>
              <w:rPr>
                <w:rFonts w:ascii="宋体" w:hAnsi="宋体"/>
                <w:highlight w:val="white"/>
              </w:rPr>
            </w:pPr>
            <w:r>
              <w:rPr>
                <w:rFonts w:hint="eastAsia" w:ascii="宋体" w:hAnsi="宋体"/>
                <w:highlight w:val="white"/>
              </w:rPr>
              <w:t>标书份数及要求</w:t>
            </w:r>
          </w:p>
        </w:tc>
        <w:tc>
          <w:tcPr>
            <w:tcW w:w="6804" w:type="dxa"/>
            <w:vAlign w:val="center"/>
          </w:tcPr>
          <w:p>
            <w:pPr>
              <w:spacing w:line="360" w:lineRule="exact"/>
              <w:rPr>
                <w:rFonts w:hint="default" w:ascii="宋体" w:hAnsi="宋体" w:eastAsiaTheme="minorEastAsia"/>
                <w:lang w:val="en-US" w:eastAsia="zh-CN"/>
              </w:rPr>
            </w:pPr>
            <w:r>
              <w:rPr>
                <w:rFonts w:hint="eastAsia" w:ascii="宋体" w:hAnsi="宋体"/>
              </w:rPr>
              <w:t>纸质投标文件：壹</w:t>
            </w:r>
            <w:r>
              <w:rPr>
                <w:rFonts w:hint="eastAsia" w:ascii="宋体" w:hAnsi="宋体"/>
                <w:lang w:val="en-US" w:eastAsia="zh-CN"/>
              </w:rPr>
              <w:t>正贰副。</w:t>
            </w:r>
          </w:p>
          <w:p>
            <w:pPr>
              <w:spacing w:line="360" w:lineRule="exact"/>
              <w:rPr>
                <w:rFonts w:hint="eastAsia" w:ascii="宋体" w:hAnsi="宋体"/>
              </w:rPr>
            </w:pPr>
            <w:r>
              <w:rPr>
                <w:rFonts w:hint="eastAsia" w:ascii="宋体" w:hAnsi="宋体"/>
                <w:lang w:val="en-US" w:eastAsia="zh-CN"/>
              </w:rPr>
              <w:t>1、</w:t>
            </w:r>
            <w:r>
              <w:rPr>
                <w:rFonts w:hint="eastAsia" w:ascii="宋体" w:hAnsi="宋体"/>
              </w:rPr>
              <w:t>投标人应提交规定份数的投标文件，其中壹份标明为“正本”，其余标明为“副本”，若正本与副本不符，以“正本”为准。投标文件应装订成册和封装，封皮上注明“（项目名称）投标文件”。</w:t>
            </w:r>
          </w:p>
          <w:p>
            <w:pPr>
              <w:spacing w:line="360" w:lineRule="exact"/>
              <w:rPr>
                <w:rFonts w:hint="eastAsia" w:ascii="宋体" w:hAnsi="宋体"/>
              </w:rPr>
            </w:pPr>
            <w:r>
              <w:rPr>
                <w:rFonts w:hint="eastAsia" w:ascii="宋体" w:hAnsi="宋体"/>
                <w:lang w:val="en-US" w:eastAsia="zh-CN"/>
              </w:rPr>
              <w:t>2、</w:t>
            </w:r>
            <w:r>
              <w:rPr>
                <w:rFonts w:hint="eastAsia" w:ascii="宋体" w:hAnsi="宋体"/>
              </w:rPr>
              <w:t>投标文件须加盖投标人公章。</w:t>
            </w:r>
          </w:p>
          <w:p>
            <w:pPr>
              <w:spacing w:line="360" w:lineRule="exact"/>
              <w:rPr>
                <w:rFonts w:hint="eastAsia" w:ascii="宋体" w:hAnsi="宋体"/>
              </w:rPr>
            </w:pPr>
            <w:r>
              <w:rPr>
                <w:rFonts w:hint="eastAsia" w:ascii="宋体" w:hAnsi="宋体"/>
                <w:lang w:val="en-US" w:eastAsia="zh-CN"/>
              </w:rPr>
              <w:t>3、</w:t>
            </w:r>
            <w:r>
              <w:rPr>
                <w:rFonts w:hint="eastAsia" w:ascii="宋体" w:hAnsi="宋体"/>
              </w:rPr>
              <w:t>投标文件因表达不清所引起的后果由投标人负责。</w:t>
            </w:r>
          </w:p>
          <w:p>
            <w:pPr>
              <w:spacing w:line="360" w:lineRule="exact"/>
              <w:rPr>
                <w:rFonts w:ascii="宋体" w:hAnsi="宋体"/>
                <w:highlight w:val="white"/>
              </w:rPr>
            </w:pPr>
            <w:r>
              <w:rPr>
                <w:rFonts w:hint="eastAsia" w:ascii="宋体" w:hAnsi="宋体"/>
                <w:lang w:val="en-US" w:eastAsia="zh-CN"/>
              </w:rPr>
              <w:t>4、</w:t>
            </w:r>
            <w:r>
              <w:rPr>
                <w:rFonts w:hint="eastAsia" w:ascii="宋体" w:hAnsi="宋体"/>
              </w:rPr>
              <w:t>如果投标人未按上述要求密封，招标采购单位对投标文件的误投或过早启封概不负责。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9</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bCs/>
              </w:rPr>
              <w:t>投标供应商</w:t>
            </w:r>
            <w:r>
              <w:rPr>
                <w:rFonts w:hint="eastAsia" w:ascii="宋体" w:hAnsi="宋体"/>
              </w:rPr>
              <w:t>资格条件</w:t>
            </w:r>
          </w:p>
        </w:tc>
        <w:tc>
          <w:tcPr>
            <w:tcW w:w="6804" w:type="dxa"/>
            <w:vAlign w:val="center"/>
          </w:tcPr>
          <w:p>
            <w:pPr>
              <w:spacing w:line="360" w:lineRule="exact"/>
              <w:rPr>
                <w:rFonts w:hint="eastAsia" w:ascii="宋体" w:hAnsi="宋体" w:eastAsiaTheme="minorEastAsia"/>
                <w:lang w:eastAsia="zh-CN"/>
              </w:rPr>
            </w:pPr>
            <w:r>
              <w:rPr>
                <w:rFonts w:hint="eastAsia" w:ascii="宋体" w:hAnsi="宋体"/>
              </w:rPr>
              <w:t>详见竞争性</w:t>
            </w:r>
            <w:r>
              <w:rPr>
                <w:rFonts w:hint="eastAsia" w:ascii="宋体" w:hAnsi="宋体"/>
                <w:lang w:eastAsia="zh-CN"/>
              </w:rPr>
              <w:t>磋商邀请公告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10</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bCs/>
              </w:rPr>
              <w:t>质疑及答复</w:t>
            </w:r>
          </w:p>
        </w:tc>
        <w:tc>
          <w:tcPr>
            <w:tcW w:w="6804" w:type="dxa"/>
            <w:vAlign w:val="center"/>
          </w:tcPr>
          <w:p>
            <w:pPr>
              <w:spacing w:line="360" w:lineRule="exact"/>
              <w:rPr>
                <w:rFonts w:ascii="宋体" w:hAnsi="宋体"/>
                <w:color w:val="000000"/>
              </w:rPr>
            </w:pPr>
            <w:r>
              <w:rPr>
                <w:rFonts w:hint="eastAsia" w:ascii="宋体" w:hAnsi="宋体"/>
                <w:highlight w:val="white"/>
              </w:rPr>
              <w:t>供应商根据政府采购有关法律法规规定的时间和方式提出疑问，采购人或采购代理机构按有关规定给予答复。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ind w:firstLine="735" w:firstLineChars="350"/>
              <w:jc w:val="center"/>
              <w:rPr>
                <w:rFonts w:ascii="宋体" w:hAnsi="宋体"/>
              </w:rPr>
            </w:pPr>
            <w:r>
              <w:rPr>
                <w:rFonts w:hint="eastAsia" w:ascii="宋体" w:hAnsi="宋体"/>
              </w:rPr>
              <w:t>*1</w:t>
            </w:r>
            <w:r>
              <w:rPr>
                <w:rFonts w:ascii="宋体" w:hAnsi="宋体"/>
              </w:rPr>
              <w:t>1</w:t>
            </w:r>
          </w:p>
        </w:tc>
        <w:tc>
          <w:tcPr>
            <w:tcW w:w="1559" w:type="dxa"/>
            <w:vAlign w:val="center"/>
          </w:tcPr>
          <w:p>
            <w:pPr>
              <w:adjustRightInd w:val="0"/>
              <w:snapToGrid w:val="0"/>
              <w:spacing w:beforeLines="50" w:line="360" w:lineRule="auto"/>
              <w:ind w:left="-533" w:leftChars="-254" w:firstLine="533" w:firstLineChars="254"/>
              <w:jc w:val="center"/>
              <w:rPr>
                <w:rFonts w:ascii="宋体" w:hAnsi="宋体"/>
              </w:rPr>
            </w:pPr>
            <w:r>
              <w:rPr>
                <w:rFonts w:hint="eastAsia" w:ascii="宋体" w:hAnsi="宋体"/>
              </w:rPr>
              <w:t>投标保证金</w:t>
            </w:r>
          </w:p>
        </w:tc>
        <w:tc>
          <w:tcPr>
            <w:tcW w:w="6804" w:type="dxa"/>
            <w:vAlign w:val="center"/>
          </w:tcPr>
          <w:p>
            <w:pPr>
              <w:spacing w:line="360" w:lineRule="exact"/>
              <w:rPr>
                <w:rFonts w:ascii="宋体" w:hAnsi="宋体"/>
                <w:bCs/>
              </w:rPr>
            </w:pPr>
            <w:r>
              <w:rPr>
                <w:rFonts w:hint="eastAsia" w:ascii="宋体" w:hAnsi="宋体"/>
                <w:highlight w:val="white"/>
              </w:rPr>
              <w:t>投标保证金缴纳要求详见公告。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1</w:t>
            </w:r>
            <w:r>
              <w:rPr>
                <w:rFonts w:ascii="宋体" w:hAnsi="宋体"/>
              </w:rPr>
              <w:t>2</w:t>
            </w:r>
          </w:p>
        </w:tc>
        <w:tc>
          <w:tcPr>
            <w:tcW w:w="1559" w:type="dxa"/>
            <w:vAlign w:val="center"/>
          </w:tcPr>
          <w:p>
            <w:pPr>
              <w:adjustRightInd w:val="0"/>
              <w:snapToGrid w:val="0"/>
              <w:spacing w:beforeLines="50" w:line="360" w:lineRule="auto"/>
              <w:jc w:val="center"/>
              <w:rPr>
                <w:rFonts w:ascii="宋体" w:hAnsi="宋体"/>
                <w:bCs/>
              </w:rPr>
            </w:pPr>
            <w:r>
              <w:rPr>
                <w:rFonts w:hint="eastAsia" w:ascii="宋体" w:hAnsi="宋体"/>
              </w:rPr>
              <w:t>投标文件</w:t>
            </w:r>
            <w:r>
              <w:rPr>
                <w:rFonts w:hint="eastAsia" w:ascii="宋体" w:hAnsi="宋体"/>
                <w:bCs/>
              </w:rPr>
              <w:t>有效期</w:t>
            </w:r>
          </w:p>
        </w:tc>
        <w:tc>
          <w:tcPr>
            <w:tcW w:w="6804" w:type="dxa"/>
            <w:vAlign w:val="center"/>
          </w:tcPr>
          <w:p>
            <w:pPr>
              <w:adjustRightInd w:val="0"/>
              <w:snapToGrid w:val="0"/>
              <w:spacing w:beforeLines="50" w:line="360" w:lineRule="auto"/>
              <w:rPr>
                <w:rFonts w:ascii="宋体" w:hAnsi="宋体"/>
                <w:bCs/>
              </w:rPr>
            </w:pPr>
            <w:r>
              <w:rPr>
                <w:rFonts w:hint="eastAsia" w:ascii="宋体" w:hAnsi="宋体"/>
                <w:u w:val="single"/>
              </w:rPr>
              <w:t xml:space="preserve"> 56 </w:t>
            </w:r>
            <w:r>
              <w:rPr>
                <w:rFonts w:hint="eastAsia" w:ascii="宋体" w:hAnsi="宋体"/>
              </w:rPr>
              <w:t>个日历天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trPr>
        <w:tc>
          <w:tcPr>
            <w:tcW w:w="709" w:type="dxa"/>
            <w:vAlign w:val="center"/>
          </w:tcPr>
          <w:p>
            <w:pPr>
              <w:adjustRightInd w:val="0"/>
              <w:snapToGrid w:val="0"/>
              <w:spacing w:beforeLines="50" w:line="360" w:lineRule="auto"/>
              <w:jc w:val="center"/>
              <w:rPr>
                <w:rFonts w:ascii="宋体" w:hAnsi="宋体"/>
              </w:rPr>
            </w:pPr>
            <w:r>
              <w:rPr>
                <w:rFonts w:hint="eastAsia" w:ascii="宋体" w:hAnsi="宋体"/>
              </w:rPr>
              <w:t>1</w:t>
            </w:r>
            <w:r>
              <w:rPr>
                <w:rFonts w:ascii="宋体" w:hAnsi="宋体"/>
              </w:rPr>
              <w:t>3</w:t>
            </w:r>
          </w:p>
        </w:tc>
        <w:tc>
          <w:tcPr>
            <w:tcW w:w="1559" w:type="dxa"/>
            <w:vAlign w:val="center"/>
          </w:tcPr>
          <w:p>
            <w:pPr>
              <w:adjustRightInd w:val="0"/>
              <w:snapToGrid w:val="0"/>
              <w:spacing w:beforeLines="50" w:line="360" w:lineRule="auto"/>
              <w:jc w:val="center"/>
              <w:rPr>
                <w:rFonts w:ascii="宋体" w:hAnsi="宋体"/>
              </w:rPr>
            </w:pPr>
            <w:r>
              <w:rPr>
                <w:rFonts w:hint="eastAsia" w:hAnsi="宋体"/>
                <w:color w:val="000000"/>
                <w:kern w:val="0"/>
              </w:rPr>
              <w:t>履约保证金（合同履约担保）</w:t>
            </w:r>
          </w:p>
        </w:tc>
        <w:tc>
          <w:tcPr>
            <w:tcW w:w="6804" w:type="dxa"/>
            <w:vAlign w:val="center"/>
          </w:tcPr>
          <w:p>
            <w:pPr>
              <w:spacing w:line="360" w:lineRule="exact"/>
              <w:rPr>
                <w:rFonts w:hint="default" w:ascii="宋体" w:hAnsi="宋体" w:eastAsiaTheme="minorEastAsia"/>
                <w:highlight w:val="white"/>
                <w:lang w:val="en-US" w:eastAsia="zh-CN"/>
              </w:rPr>
            </w:pPr>
            <w:r>
              <w:rPr>
                <w:rFonts w:hint="eastAsia" w:ascii="宋体" w:hAnsi="宋体"/>
                <w:highlight w:val="white"/>
              </w:rPr>
              <w:t>履约保证金的金额</w:t>
            </w:r>
            <w:r>
              <w:rPr>
                <w:rFonts w:hint="eastAsia" w:ascii="宋体" w:hAnsi="宋体"/>
                <w:highlight w:val="white"/>
                <w:lang w:val="en-US" w:eastAsia="zh-CN"/>
              </w:rPr>
              <w:t>及形式具体签合同时按采购人要求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709" w:type="dxa"/>
            <w:vAlign w:val="center"/>
          </w:tcPr>
          <w:p>
            <w:pPr>
              <w:adjustRightInd w:val="0"/>
              <w:snapToGrid w:val="0"/>
              <w:spacing w:beforeLines="50" w:line="360" w:lineRule="auto"/>
              <w:jc w:val="center"/>
              <w:rPr>
                <w:rFonts w:ascii="宋体" w:hAnsi="宋体"/>
              </w:rPr>
            </w:pPr>
            <w:r>
              <w:rPr>
                <w:rFonts w:hint="eastAsia" w:ascii="宋体" w:hAnsi="宋体"/>
              </w:rPr>
              <w:t>1</w:t>
            </w:r>
            <w:r>
              <w:rPr>
                <w:rFonts w:ascii="宋体" w:hAnsi="宋体"/>
              </w:rPr>
              <w:t>4</w:t>
            </w:r>
          </w:p>
        </w:tc>
        <w:tc>
          <w:tcPr>
            <w:tcW w:w="1559" w:type="dxa"/>
            <w:vAlign w:val="center"/>
          </w:tcPr>
          <w:p>
            <w:pPr>
              <w:adjustRightInd w:val="0"/>
              <w:snapToGrid w:val="0"/>
              <w:spacing w:beforeLines="50" w:line="360" w:lineRule="auto"/>
              <w:jc w:val="center"/>
              <w:rPr>
                <w:rFonts w:ascii="宋体" w:hAnsi="宋体"/>
                <w:color w:val="FF0000"/>
              </w:rPr>
            </w:pPr>
            <w:r>
              <w:rPr>
                <w:rFonts w:hint="eastAsia" w:ascii="宋体" w:hAnsi="宋体"/>
                <w:color w:val="FF0000"/>
              </w:rPr>
              <w:t>履行合同的时间、地点</w:t>
            </w:r>
          </w:p>
        </w:tc>
        <w:tc>
          <w:tcPr>
            <w:tcW w:w="6804" w:type="dxa"/>
            <w:vAlign w:val="center"/>
          </w:tcPr>
          <w:p>
            <w:pPr>
              <w:adjustRightInd w:val="0"/>
              <w:snapToGrid w:val="0"/>
              <w:spacing w:beforeLines="50" w:line="360" w:lineRule="auto"/>
              <w:rPr>
                <w:rFonts w:ascii="宋体" w:hAnsi="宋体"/>
                <w:color w:val="FF0000"/>
              </w:rPr>
            </w:pPr>
            <w:r>
              <w:rPr>
                <w:rFonts w:hint="eastAsia" w:ascii="宋体" w:hAnsi="宋体"/>
                <w:color w:val="FF0000"/>
                <w:lang w:val="en-US" w:eastAsia="zh-CN"/>
              </w:rPr>
              <w:t>服务</w:t>
            </w:r>
            <w:r>
              <w:rPr>
                <w:rFonts w:hint="eastAsia" w:ascii="宋体" w:hAnsi="宋体"/>
                <w:color w:val="FF0000"/>
              </w:rPr>
              <w:t>时间：2021年10月30日前提交全套规划成果并通过专家评审，2021年12月31日前修改完善并提交最终成果。</w:t>
            </w:r>
          </w:p>
          <w:p>
            <w:pPr>
              <w:adjustRightInd w:val="0"/>
              <w:snapToGrid w:val="0"/>
              <w:spacing w:beforeLines="50" w:line="360" w:lineRule="auto"/>
              <w:rPr>
                <w:rFonts w:hint="default" w:ascii="宋体" w:hAnsi="宋体" w:eastAsiaTheme="minorEastAsia"/>
                <w:color w:val="FF0000"/>
                <w:lang w:val="en-US" w:eastAsia="zh-CN"/>
              </w:rPr>
            </w:pPr>
            <w:r>
              <w:rPr>
                <w:rFonts w:hint="eastAsia" w:ascii="宋体" w:hAnsi="宋体"/>
                <w:color w:val="FF0000"/>
                <w:lang w:val="en-US" w:eastAsia="zh-CN"/>
              </w:rPr>
              <w:t>服务</w:t>
            </w:r>
            <w:r>
              <w:rPr>
                <w:rFonts w:hint="eastAsia" w:ascii="宋体" w:hAnsi="宋体"/>
                <w:color w:val="FF0000"/>
              </w:rPr>
              <w:t>地点：</w:t>
            </w:r>
            <w:r>
              <w:rPr>
                <w:rFonts w:hint="eastAsia" w:ascii="宋体" w:hAnsi="宋体"/>
                <w:color w:val="FF0000"/>
                <w:u w:val="single"/>
                <w:lang w:val="en-US" w:eastAsia="zh-CN"/>
              </w:rPr>
              <w:t>业主指定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1</w:t>
            </w:r>
            <w:r>
              <w:rPr>
                <w:rFonts w:ascii="宋体" w:hAnsi="宋体"/>
              </w:rPr>
              <w:t>5</w:t>
            </w:r>
          </w:p>
        </w:tc>
        <w:tc>
          <w:tcPr>
            <w:tcW w:w="1559" w:type="dxa"/>
            <w:vAlign w:val="center"/>
          </w:tcPr>
          <w:p>
            <w:pPr>
              <w:adjustRightInd w:val="0"/>
              <w:snapToGrid w:val="0"/>
              <w:spacing w:beforeLines="50" w:line="360" w:lineRule="auto"/>
              <w:jc w:val="center"/>
              <w:rPr>
                <w:rFonts w:ascii="宋体" w:hAnsi="宋体"/>
                <w:color w:val="FF0000"/>
              </w:rPr>
            </w:pPr>
            <w:r>
              <w:rPr>
                <w:rFonts w:hint="eastAsia" w:ascii="宋体" w:hAnsi="宋体"/>
                <w:color w:val="FF0000"/>
              </w:rPr>
              <w:t>付款方式</w:t>
            </w:r>
          </w:p>
        </w:tc>
        <w:tc>
          <w:tcPr>
            <w:tcW w:w="6804" w:type="dxa"/>
            <w:vAlign w:val="center"/>
          </w:tcPr>
          <w:p>
            <w:pPr>
              <w:adjustRightInd w:val="0"/>
              <w:snapToGrid w:val="0"/>
              <w:spacing w:beforeLines="50" w:line="360" w:lineRule="auto"/>
              <w:jc w:val="left"/>
              <w:rPr>
                <w:rFonts w:hint="eastAsia" w:ascii="宋体" w:hAnsi="宋体" w:eastAsiaTheme="minorEastAsia"/>
                <w:color w:val="FF0000"/>
                <w:lang w:eastAsia="zh-CN"/>
              </w:rPr>
            </w:pPr>
            <w:r>
              <w:rPr>
                <w:rFonts w:hint="eastAsia" w:ascii="宋体" w:hAnsi="宋体"/>
                <w:color w:val="FF0000"/>
                <w:lang w:val="en-US" w:eastAsia="zh-CN"/>
              </w:rPr>
              <w:t>详见采购需求说明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1</w:t>
            </w:r>
            <w:r>
              <w:rPr>
                <w:rFonts w:ascii="宋体" w:hAnsi="宋体"/>
              </w:rPr>
              <w:t>6</w:t>
            </w:r>
          </w:p>
        </w:tc>
        <w:tc>
          <w:tcPr>
            <w:tcW w:w="1559" w:type="dxa"/>
            <w:vAlign w:val="center"/>
          </w:tcPr>
          <w:p>
            <w:pPr>
              <w:adjustRightInd w:val="0"/>
              <w:snapToGrid w:val="0"/>
              <w:spacing w:beforeLines="50" w:line="360" w:lineRule="auto"/>
              <w:jc w:val="center"/>
              <w:rPr>
                <w:rFonts w:ascii="宋体" w:hAnsi="宋体"/>
                <w:color w:val="FF0000"/>
              </w:rPr>
            </w:pPr>
            <w:r>
              <w:rPr>
                <w:rFonts w:hint="eastAsia" w:ascii="宋体" w:hAnsi="宋体"/>
                <w:color w:val="FF0000"/>
              </w:rPr>
              <w:t>质保期</w:t>
            </w:r>
          </w:p>
        </w:tc>
        <w:tc>
          <w:tcPr>
            <w:tcW w:w="6804" w:type="dxa"/>
            <w:vAlign w:val="center"/>
          </w:tcPr>
          <w:p>
            <w:pPr>
              <w:adjustRightInd w:val="0"/>
              <w:snapToGrid w:val="0"/>
              <w:spacing w:beforeLines="50" w:line="360" w:lineRule="auto"/>
              <w:jc w:val="left"/>
              <w:rPr>
                <w:rFonts w:ascii="宋体" w:hAnsi="宋体"/>
                <w:color w:val="FF0000"/>
              </w:rPr>
            </w:pPr>
            <w:r>
              <w:rPr>
                <w:rFonts w:hint="eastAsia" w:ascii="宋体" w:hAnsi="宋体"/>
                <w:color w:val="FF0000"/>
              </w:rPr>
              <w:t>在全套正式成果提交后，中标人需提供一年的免费后期服务，包括对规划方案的沟通与解读、对方案后期深化实施过程中的问题进行解答，提供免费更新等技术服务和支持。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1" w:hRule="atLeast"/>
        </w:trPr>
        <w:tc>
          <w:tcPr>
            <w:tcW w:w="709" w:type="dxa"/>
            <w:vAlign w:val="center"/>
          </w:tcPr>
          <w:p>
            <w:pPr>
              <w:adjustRightInd w:val="0"/>
              <w:snapToGrid w:val="0"/>
              <w:spacing w:beforeLines="50" w:line="360" w:lineRule="auto"/>
              <w:jc w:val="center"/>
              <w:rPr>
                <w:rFonts w:ascii="宋体" w:hAnsi="宋体"/>
              </w:rPr>
            </w:pPr>
            <w:r>
              <w:rPr>
                <w:rFonts w:ascii="宋体" w:hAnsi="宋体"/>
              </w:rPr>
              <w:t>17</w:t>
            </w:r>
          </w:p>
        </w:tc>
        <w:tc>
          <w:tcPr>
            <w:tcW w:w="1559" w:type="dxa"/>
            <w:vAlign w:val="center"/>
          </w:tcPr>
          <w:p>
            <w:pPr>
              <w:adjustRightInd w:val="0"/>
              <w:snapToGrid w:val="0"/>
              <w:spacing w:beforeLines="50" w:line="360" w:lineRule="auto"/>
              <w:jc w:val="center"/>
              <w:rPr>
                <w:rFonts w:ascii="宋体" w:hAnsi="宋体"/>
              </w:rPr>
            </w:pPr>
            <w:r>
              <w:rPr>
                <w:rFonts w:hint="eastAsia" w:ascii="宋体" w:hAnsi="宋体"/>
              </w:rPr>
              <w:t>对投标供应商的其他要求</w:t>
            </w:r>
          </w:p>
        </w:tc>
        <w:tc>
          <w:tcPr>
            <w:tcW w:w="6804" w:type="dxa"/>
            <w:vAlign w:val="center"/>
          </w:tcPr>
          <w:p>
            <w:pPr>
              <w:spacing w:line="360" w:lineRule="exact"/>
              <w:jc w:val="left"/>
              <w:rPr>
                <w:rFonts w:ascii="宋体" w:hAnsi="宋体"/>
              </w:rPr>
            </w:pPr>
            <w:r>
              <w:rPr>
                <w:rFonts w:hint="eastAsia" w:ascii="宋体" w:hAnsi="宋体"/>
              </w:rPr>
              <w:t>1、参与芜湖市政府采购活动的供应商被列入以下失信名单的，不得被推荐为政府采购项目中标候选人。</w:t>
            </w:r>
          </w:p>
          <w:p>
            <w:pPr>
              <w:spacing w:line="360" w:lineRule="exact"/>
              <w:jc w:val="left"/>
              <w:rPr>
                <w:rFonts w:ascii="宋体" w:hAnsi="宋体"/>
              </w:rPr>
            </w:pPr>
            <w:r>
              <w:rPr>
                <w:rFonts w:hint="eastAsia" w:ascii="宋体" w:hAnsi="宋体"/>
              </w:rPr>
              <w:t>（1）供应商被列入失信被执行人的；</w:t>
            </w:r>
          </w:p>
          <w:p>
            <w:pPr>
              <w:spacing w:line="360" w:lineRule="exact"/>
              <w:jc w:val="left"/>
              <w:rPr>
                <w:rFonts w:ascii="宋体" w:hAnsi="宋体"/>
              </w:rPr>
            </w:pPr>
            <w:r>
              <w:rPr>
                <w:rFonts w:hint="eastAsia" w:ascii="宋体" w:hAnsi="宋体"/>
              </w:rPr>
              <w:t>（2）供应商被工列入企业经营异常名录的；</w:t>
            </w:r>
          </w:p>
          <w:p>
            <w:pPr>
              <w:spacing w:line="360" w:lineRule="exact"/>
              <w:jc w:val="left"/>
              <w:rPr>
                <w:rFonts w:ascii="宋体" w:hAnsi="宋体"/>
              </w:rPr>
            </w:pPr>
            <w:r>
              <w:rPr>
                <w:rFonts w:hint="eastAsia" w:ascii="宋体" w:hAnsi="宋体"/>
              </w:rPr>
              <w:t>（3）供应商被列入重大税收违法案件当事人名单的；</w:t>
            </w:r>
          </w:p>
          <w:p>
            <w:pPr>
              <w:spacing w:line="360" w:lineRule="exact"/>
              <w:jc w:val="left"/>
              <w:rPr>
                <w:rFonts w:ascii="宋体" w:hAnsi="宋体"/>
              </w:rPr>
            </w:pPr>
            <w:r>
              <w:rPr>
                <w:rFonts w:hint="eastAsia" w:ascii="宋体" w:hAnsi="宋体"/>
              </w:rPr>
              <w:t>（4）供应商被列入政府采购严重违法失信行为记录名单的；</w:t>
            </w:r>
          </w:p>
          <w:p>
            <w:pPr>
              <w:spacing w:line="360" w:lineRule="exact"/>
              <w:jc w:val="left"/>
              <w:rPr>
                <w:rFonts w:ascii="宋体" w:hAnsi="宋体"/>
              </w:rPr>
            </w:pPr>
            <w:r>
              <w:rPr>
                <w:rFonts w:hint="eastAsia" w:ascii="宋体" w:hAnsi="宋体"/>
              </w:rPr>
              <w:t>（5）被列入芜湖市公共资源交易服务网站“诚信黑榜”公布的“黑名单”（在一定期限内禁止参加依法进行的招标采购活动的行政处罚且在行政处罚期限内的）。</w:t>
            </w:r>
          </w:p>
          <w:p>
            <w:pPr>
              <w:spacing w:line="360" w:lineRule="exact"/>
              <w:jc w:val="left"/>
              <w:rPr>
                <w:rFonts w:ascii="宋体" w:hAnsi="宋体"/>
              </w:rPr>
            </w:pPr>
            <w:r>
              <w:rPr>
                <w:rFonts w:hint="eastAsia" w:ascii="宋体" w:hAnsi="宋体"/>
              </w:rPr>
              <w:t>2、联合体供应商，联合体任何一方存在上述不良信用记录的，视同联合体存在不良信用记录。</w:t>
            </w:r>
          </w:p>
          <w:p>
            <w:pPr>
              <w:spacing w:line="360" w:lineRule="exact"/>
              <w:jc w:val="left"/>
              <w:rPr>
                <w:rFonts w:ascii="宋体" w:hAnsi="宋体"/>
              </w:rPr>
            </w:pPr>
            <w:r>
              <w:rPr>
                <w:rFonts w:hint="eastAsia" w:ascii="宋体" w:hAnsi="宋体"/>
              </w:rPr>
              <w:t>3、不良信用记录查询渠道如下：</w:t>
            </w:r>
          </w:p>
          <w:p>
            <w:pPr>
              <w:spacing w:line="360" w:lineRule="exact"/>
              <w:jc w:val="left"/>
              <w:rPr>
                <w:rFonts w:ascii="宋体" w:hAnsi="宋体"/>
              </w:rPr>
            </w:pPr>
            <w:r>
              <w:rPr>
                <w:rFonts w:hint="eastAsia" w:ascii="宋体" w:hAnsi="宋体"/>
              </w:rPr>
              <w:t>（1）失信被执行人：信用中国官网（www.creditchina.gov.cn）</w:t>
            </w:r>
          </w:p>
          <w:p>
            <w:pPr>
              <w:spacing w:line="360" w:lineRule="exact"/>
              <w:jc w:val="left"/>
              <w:rPr>
                <w:rFonts w:ascii="宋体" w:hAnsi="宋体"/>
              </w:rPr>
            </w:pPr>
            <w:r>
              <w:rPr>
                <w:rFonts w:hint="eastAsia" w:ascii="宋体" w:hAnsi="宋体"/>
              </w:rPr>
              <w:t>（2）企业经营异常名录：信用中国官网（www.creditchina.gov.cn）</w:t>
            </w:r>
          </w:p>
          <w:p>
            <w:pPr>
              <w:spacing w:line="360" w:lineRule="exact"/>
              <w:jc w:val="left"/>
              <w:rPr>
                <w:rFonts w:ascii="宋体" w:hAnsi="宋体"/>
              </w:rPr>
            </w:pPr>
            <w:r>
              <w:rPr>
                <w:rFonts w:hint="eastAsia" w:ascii="宋体" w:hAnsi="宋体"/>
              </w:rPr>
              <w:t>（3）重大税收违法案件当事人名单：信用中国官网（www.creditchina.gov.cn）</w:t>
            </w:r>
          </w:p>
          <w:p>
            <w:pPr>
              <w:spacing w:line="360" w:lineRule="exact"/>
              <w:jc w:val="left"/>
              <w:rPr>
                <w:rFonts w:ascii="宋体" w:hAnsi="宋体"/>
              </w:rPr>
            </w:pPr>
            <w:r>
              <w:rPr>
                <w:rFonts w:hint="eastAsia" w:ascii="宋体" w:hAnsi="宋体"/>
              </w:rPr>
              <w:t>（4）政府采购严重违法失信行为记录名单：中国政府采购官网（www.ccgp.gov.cn）</w:t>
            </w:r>
          </w:p>
          <w:p>
            <w:pPr>
              <w:spacing w:line="360" w:lineRule="exact"/>
              <w:jc w:val="left"/>
              <w:rPr>
                <w:rFonts w:ascii="宋体" w:hAnsi="宋体"/>
                <w:sz w:val="22"/>
              </w:rPr>
            </w:pPr>
            <w:r>
              <w:rPr>
                <w:rFonts w:hint="eastAsia" w:ascii="宋体" w:hAnsi="宋体"/>
              </w:rPr>
              <w:t>（5）芜湖市公共资源交易服务网站“诚信黑榜”：芜湖市公共资源交易服务网（http://whsggzy.wuhu.gov.cn/xyzl/020002/subpage.html）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ascii="宋体" w:hAnsi="宋体"/>
              </w:rPr>
              <w:t>18</w:t>
            </w:r>
          </w:p>
        </w:tc>
        <w:tc>
          <w:tcPr>
            <w:tcW w:w="1559" w:type="dxa"/>
            <w:vAlign w:val="center"/>
          </w:tcPr>
          <w:p>
            <w:pPr>
              <w:adjustRightInd w:val="0"/>
              <w:snapToGrid w:val="0"/>
              <w:spacing w:beforeLines="50" w:line="360" w:lineRule="auto"/>
              <w:jc w:val="center"/>
              <w:rPr>
                <w:rFonts w:hint="default" w:ascii="宋体" w:hAnsi="宋体" w:eastAsiaTheme="minorEastAsia"/>
                <w:lang w:val="en-US" w:eastAsia="zh-CN"/>
              </w:rPr>
            </w:pPr>
            <w:r>
              <w:rPr>
                <w:rFonts w:hint="eastAsia" w:hAnsi="宋体"/>
                <w:highlight w:val="white"/>
              </w:rPr>
              <w:t>招标代理服务费</w:t>
            </w:r>
            <w:r>
              <w:rPr>
                <w:rFonts w:hint="eastAsia" w:hAnsi="宋体"/>
                <w:highlight w:val="white"/>
                <w:lang w:val="en-US" w:eastAsia="zh-CN"/>
              </w:rPr>
              <w:t>及专家评审（含论证）费</w:t>
            </w:r>
          </w:p>
        </w:tc>
        <w:tc>
          <w:tcPr>
            <w:tcW w:w="6804" w:type="dxa"/>
            <w:vAlign w:val="center"/>
          </w:tcPr>
          <w:p>
            <w:pPr>
              <w:widowControl/>
              <w:shd w:val="clear" w:color="auto" w:fill="FFFFFF"/>
              <w:jc w:val="left"/>
              <w:rPr>
                <w:rFonts w:ascii="微软雅黑" w:hAnsi="微软雅黑" w:eastAsia="微软雅黑" w:cs="宋体"/>
                <w:color w:val="333333"/>
                <w:kern w:val="0"/>
              </w:rPr>
            </w:pPr>
            <w:bookmarkStart w:id="5" w:name="_Hlk27471813"/>
            <w:r>
              <w:rPr>
                <w:rFonts w:hint="eastAsia" w:ascii="宋体" w:hAnsi="宋体" w:cs="宋体"/>
                <w:color w:val="333333"/>
                <w:kern w:val="0"/>
              </w:rPr>
              <w:t>（1）支付方：中标人。</w:t>
            </w:r>
          </w:p>
          <w:p>
            <w:pPr>
              <w:widowControl/>
              <w:shd w:val="clear" w:color="auto" w:fill="FFFFFF"/>
              <w:jc w:val="left"/>
              <w:rPr>
                <w:rFonts w:ascii="微软雅黑" w:hAnsi="微软雅黑" w:eastAsia="微软雅黑" w:cs="宋体"/>
                <w:color w:val="333333"/>
                <w:kern w:val="0"/>
              </w:rPr>
            </w:pPr>
            <w:r>
              <w:rPr>
                <w:rFonts w:hint="eastAsia" w:ascii="宋体" w:hAnsi="宋体" w:cs="宋体"/>
                <w:color w:val="333333"/>
                <w:kern w:val="0"/>
              </w:rPr>
              <w:t>（2）支付标准：</w:t>
            </w:r>
            <w:r>
              <w:rPr>
                <w:rFonts w:hint="eastAsia" w:ascii="宋体" w:hAnsi="宋体"/>
              </w:rPr>
              <w:t>按芜湖市公共资源交易</w:t>
            </w:r>
            <w:r>
              <w:rPr>
                <w:rFonts w:hint="eastAsia" w:ascii="宋体" w:hAnsi="宋体"/>
                <w:lang w:val="en-US" w:eastAsia="zh-CN"/>
              </w:rPr>
              <w:t>中心规定标准</w:t>
            </w:r>
            <w:r>
              <w:rPr>
                <w:rFonts w:hint="eastAsia" w:ascii="宋体" w:hAnsi="宋体" w:cs="宋体"/>
                <w:color w:val="333333"/>
                <w:kern w:val="0"/>
              </w:rPr>
              <w:t>。</w:t>
            </w:r>
            <w:bookmarkEnd w:id="5"/>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pPr>
              <w:adjustRightInd w:val="0"/>
              <w:snapToGrid w:val="0"/>
              <w:spacing w:beforeLines="50" w:line="360" w:lineRule="auto"/>
              <w:jc w:val="center"/>
              <w:rPr>
                <w:rFonts w:ascii="宋体" w:hAnsi="宋体"/>
              </w:rPr>
            </w:pPr>
            <w:r>
              <w:rPr>
                <w:rFonts w:hint="eastAsia" w:ascii="宋体" w:hAnsi="宋体"/>
              </w:rPr>
              <w:t>1</w:t>
            </w:r>
            <w:r>
              <w:rPr>
                <w:rFonts w:ascii="宋体" w:hAnsi="宋体"/>
              </w:rPr>
              <w:t>9</w:t>
            </w:r>
          </w:p>
        </w:tc>
        <w:tc>
          <w:tcPr>
            <w:tcW w:w="1559" w:type="dxa"/>
            <w:vAlign w:val="center"/>
          </w:tcPr>
          <w:p>
            <w:pPr>
              <w:adjustRightInd w:val="0"/>
              <w:snapToGrid w:val="0"/>
              <w:spacing w:beforeLines="50" w:line="360" w:lineRule="auto"/>
              <w:jc w:val="center"/>
              <w:rPr>
                <w:rFonts w:ascii="宋体" w:hAnsi="宋体"/>
                <w:highlight w:val="white"/>
              </w:rPr>
            </w:pPr>
            <w:r>
              <w:rPr>
                <w:rFonts w:hint="eastAsia" w:ascii="宋体" w:hAnsi="宋体"/>
                <w:color w:val="0D0D0D"/>
                <w:highlight w:val="white"/>
              </w:rPr>
              <w:t>节能产品</w:t>
            </w:r>
          </w:p>
        </w:tc>
        <w:tc>
          <w:tcPr>
            <w:tcW w:w="6804" w:type="dxa"/>
            <w:vAlign w:val="center"/>
          </w:tcPr>
          <w:p>
            <w:pPr>
              <w:pStyle w:val="8"/>
              <w:rPr>
                <w:rFonts w:ascii="宋体" w:hAnsi="宋体"/>
                <w:highlight w:val="white"/>
              </w:rPr>
            </w:pPr>
            <w:r>
              <w:rPr>
                <w:rFonts w:hint="eastAsia" w:ascii="宋体" w:hAnsi="宋体"/>
                <w:highlight w:val="white"/>
              </w:rPr>
              <w:t>1、强制采购类节能产品：必须按品目清单要求采购，并在竞争性磋商文件</w:t>
            </w:r>
            <w:r>
              <w:rPr>
                <w:rFonts w:hint="eastAsia" w:ascii="宋体" w:hAnsi="宋体"/>
              </w:rPr>
              <w:t>第三章采购需求中</w:t>
            </w:r>
            <w:r>
              <w:rPr>
                <w:rFonts w:hint="eastAsia" w:ascii="宋体" w:hAnsi="宋体"/>
                <w:highlight w:val="white"/>
              </w:rPr>
              <w:t>进行说明。</w:t>
            </w:r>
          </w:p>
          <w:p>
            <w:pPr>
              <w:widowControl/>
              <w:shd w:val="clear" w:color="auto" w:fill="FFFFFF"/>
              <w:jc w:val="left"/>
              <w:rPr>
                <w:rFonts w:ascii="宋体" w:hAnsi="宋体" w:cs="宋体"/>
                <w:color w:val="333333"/>
                <w:kern w:val="0"/>
              </w:rPr>
            </w:pPr>
            <w:r>
              <w:rPr>
                <w:rFonts w:hint="eastAsia" w:ascii="宋体" w:hAnsi="宋体"/>
                <w:highlight w:val="white"/>
              </w:rPr>
              <w:t>2、优先采购类节能产品：须在竞争性磋商文件</w:t>
            </w:r>
            <w:r>
              <w:rPr>
                <w:rFonts w:hint="eastAsia" w:ascii="宋体" w:hAnsi="宋体"/>
              </w:rPr>
              <w:t>第三章采购需求中</w:t>
            </w:r>
            <w:r>
              <w:rPr>
                <w:rFonts w:hint="eastAsia" w:ascii="宋体" w:hAnsi="宋体"/>
                <w:highlight w:val="white"/>
              </w:rPr>
              <w:t>进行说明，在评标办法中体现优先采购政策。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pPr>
              <w:adjustRightInd w:val="0"/>
              <w:snapToGrid w:val="0"/>
              <w:spacing w:beforeLines="50" w:line="360" w:lineRule="auto"/>
              <w:jc w:val="center"/>
              <w:rPr>
                <w:rFonts w:ascii="宋体" w:hAnsi="宋体"/>
              </w:rPr>
            </w:pPr>
          </w:p>
        </w:tc>
        <w:tc>
          <w:tcPr>
            <w:tcW w:w="1559" w:type="dxa"/>
            <w:vAlign w:val="center"/>
          </w:tcPr>
          <w:p>
            <w:pPr>
              <w:adjustRightInd w:val="0"/>
              <w:snapToGrid w:val="0"/>
              <w:spacing w:beforeLines="50" w:line="360" w:lineRule="auto"/>
              <w:jc w:val="center"/>
              <w:rPr>
                <w:rFonts w:ascii="宋体" w:hAnsi="宋体"/>
                <w:highlight w:val="white"/>
              </w:rPr>
            </w:pPr>
            <w:r>
              <w:rPr>
                <w:rFonts w:hint="eastAsia" w:ascii="宋体" w:hAnsi="宋体"/>
                <w:color w:val="0D0D0D"/>
                <w:highlight w:val="white"/>
              </w:rPr>
              <w:t>环境标志产品</w:t>
            </w:r>
          </w:p>
        </w:tc>
        <w:tc>
          <w:tcPr>
            <w:tcW w:w="6804" w:type="dxa"/>
            <w:vAlign w:val="center"/>
          </w:tcPr>
          <w:p>
            <w:pPr>
              <w:widowControl/>
              <w:shd w:val="clear" w:color="auto" w:fill="FFFFFF"/>
              <w:jc w:val="left"/>
              <w:rPr>
                <w:rFonts w:ascii="宋体" w:hAnsi="宋体" w:cs="宋体"/>
                <w:color w:val="333333"/>
                <w:kern w:val="0"/>
              </w:rPr>
            </w:pPr>
            <w:r>
              <w:rPr>
                <w:rFonts w:hint="eastAsia" w:ascii="宋体" w:hAnsi="宋体"/>
                <w:highlight w:val="white"/>
              </w:rPr>
              <w:t>须在竞争性磋商文件进行说明，在评标办法中体现优先采购政策。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bookmarkStart w:id="6" w:name="_Hlk27739032"/>
            <w:r>
              <w:rPr>
                <w:rFonts w:hint="eastAsia" w:ascii="宋体" w:hAnsi="宋体"/>
              </w:rPr>
              <w:t>2</w:t>
            </w:r>
            <w:r>
              <w:rPr>
                <w:rFonts w:ascii="宋体" w:hAnsi="宋体"/>
              </w:rPr>
              <w:t>0</w:t>
            </w:r>
          </w:p>
        </w:tc>
        <w:tc>
          <w:tcPr>
            <w:tcW w:w="1559" w:type="dxa"/>
            <w:vAlign w:val="center"/>
          </w:tcPr>
          <w:p>
            <w:pPr>
              <w:adjustRightInd w:val="0"/>
              <w:snapToGrid w:val="0"/>
              <w:spacing w:beforeLines="50" w:line="360" w:lineRule="auto"/>
              <w:jc w:val="center"/>
              <w:rPr>
                <w:rFonts w:ascii="宋体" w:hAnsi="宋体"/>
                <w:highlight w:val="white"/>
              </w:rPr>
            </w:pPr>
            <w:bookmarkStart w:id="7" w:name="_Hlk27738744"/>
            <w:r>
              <w:rPr>
                <w:rFonts w:hint="eastAsia" w:ascii="宋体" w:hAnsi="宋体"/>
                <w:color w:val="0D0D0D"/>
                <w:highlight w:val="white"/>
              </w:rPr>
              <w:t>中小企业产品投标</w:t>
            </w:r>
            <w:bookmarkEnd w:id="7"/>
          </w:p>
        </w:tc>
        <w:tc>
          <w:tcPr>
            <w:tcW w:w="6804" w:type="dxa"/>
            <w:vAlign w:val="center"/>
          </w:tcPr>
          <w:p>
            <w:pPr>
              <w:widowControl/>
              <w:shd w:val="clear" w:color="auto" w:fill="FFFFFF"/>
              <w:jc w:val="left"/>
              <w:rPr>
                <w:rFonts w:ascii="宋体" w:hAnsi="宋体" w:cs="宋体"/>
                <w:color w:val="333333"/>
                <w:kern w:val="0"/>
              </w:rPr>
            </w:pPr>
            <w:r>
              <w:rPr>
                <w:rFonts w:hint="eastAsia" w:ascii="宋体" w:hAnsi="宋体" w:cs="宋体"/>
                <w:color w:val="333333"/>
                <w:kern w:val="0"/>
              </w:rPr>
              <w:t>中</w:t>
            </w:r>
            <w:bookmarkStart w:id="8" w:name="_Hlk27738727"/>
            <w:r>
              <w:rPr>
                <w:rFonts w:hint="eastAsia" w:ascii="宋体" w:hAnsi="宋体" w:cs="宋体"/>
                <w:color w:val="333333"/>
                <w:kern w:val="0"/>
              </w:rPr>
              <w:t>型、小型、微型企业：根据工业和信息化部、国家统计局、国家发展和改革委员会、财务部《关于印发中小企业划型标准规定的通知》（工信部联企业【2011】300号）。</w:t>
            </w:r>
          </w:p>
          <w:p>
            <w:pPr>
              <w:widowControl/>
              <w:shd w:val="clear" w:color="auto" w:fill="FFFFFF"/>
              <w:jc w:val="left"/>
              <w:rPr>
                <w:rFonts w:ascii="宋体" w:hAnsi="宋体" w:cs="宋体"/>
                <w:color w:val="333333"/>
                <w:kern w:val="0"/>
              </w:rPr>
            </w:pPr>
            <w:r>
              <w:rPr>
                <w:rFonts w:hint="eastAsia" w:ascii="宋体" w:hAnsi="宋体" w:cs="宋体"/>
                <w:color w:val="333333"/>
                <w:kern w:val="0"/>
              </w:rPr>
              <w:t>（1）中小企业（含中型、小型、微型企业，下同）单独参加本项目的投标：</w:t>
            </w:r>
          </w:p>
          <w:p>
            <w:pPr>
              <w:widowControl/>
              <w:shd w:val="clear" w:color="auto" w:fill="FFFFFF"/>
              <w:jc w:val="left"/>
              <w:rPr>
                <w:rFonts w:ascii="宋体" w:hAnsi="宋体" w:cs="宋体"/>
                <w:color w:val="333333"/>
                <w:kern w:val="0"/>
              </w:rPr>
            </w:pPr>
            <w:r>
              <w:rPr>
                <w:rFonts w:hint="eastAsia" w:ascii="宋体" w:hAnsi="宋体" w:cs="宋体"/>
                <w:color w:val="333333"/>
                <w:kern w:val="0"/>
              </w:rPr>
              <w:t>①提供中型企业生产的产品，给予3%的价格扣除，用扣除后的价格参与评审。</w:t>
            </w:r>
          </w:p>
          <w:p>
            <w:pPr>
              <w:widowControl/>
              <w:shd w:val="clear" w:color="auto" w:fill="FFFFFF"/>
              <w:jc w:val="left"/>
              <w:rPr>
                <w:rFonts w:ascii="宋体" w:hAnsi="宋体" w:cs="宋体"/>
                <w:color w:val="333333"/>
                <w:kern w:val="0"/>
              </w:rPr>
            </w:pPr>
            <w:r>
              <w:rPr>
                <w:rFonts w:hint="eastAsia" w:ascii="宋体" w:hAnsi="宋体" w:cs="宋体"/>
                <w:color w:val="333333"/>
                <w:kern w:val="0"/>
              </w:rPr>
              <w:t>②提供小型企业生产的产品，给予6%的价格扣除，用扣除后的价格参与评审。</w:t>
            </w:r>
          </w:p>
          <w:p>
            <w:pPr>
              <w:widowControl/>
              <w:shd w:val="clear" w:color="auto" w:fill="FFFFFF"/>
              <w:jc w:val="left"/>
              <w:rPr>
                <w:rFonts w:ascii="宋体" w:hAnsi="宋体" w:cs="宋体"/>
                <w:color w:val="333333"/>
                <w:kern w:val="0"/>
              </w:rPr>
            </w:pPr>
            <w:r>
              <w:rPr>
                <w:rFonts w:hint="eastAsia" w:ascii="宋体" w:hAnsi="宋体" w:cs="宋体"/>
                <w:color w:val="333333"/>
                <w:kern w:val="0"/>
              </w:rPr>
              <w:t>③提供微型企业生产的产品，给予8%的价格扣除，用扣除后的价格参与评审。</w:t>
            </w:r>
          </w:p>
          <w:p>
            <w:pPr>
              <w:widowControl/>
              <w:shd w:val="clear" w:color="auto" w:fill="FFFFFF"/>
              <w:jc w:val="left"/>
              <w:rPr>
                <w:rFonts w:ascii="宋体" w:hAnsi="宋体" w:cs="宋体"/>
                <w:color w:val="333333"/>
                <w:kern w:val="0"/>
              </w:rPr>
            </w:pPr>
            <w:r>
              <w:rPr>
                <w:rFonts w:hint="eastAsia" w:ascii="宋体" w:hAnsi="宋体" w:cs="宋体"/>
                <w:color w:val="333333"/>
                <w:kern w:val="0"/>
              </w:rPr>
              <w:t>（2）参加本次采购活动的中小企业，应当在投标文件中提供有效的《中小企业产品投标声明函》和《中小企业声明函》，并对其真实性负责。</w:t>
            </w:r>
          </w:p>
          <w:p>
            <w:pPr>
              <w:widowControl/>
              <w:shd w:val="clear" w:color="auto" w:fill="FFFFFF"/>
              <w:jc w:val="left"/>
              <w:rPr>
                <w:rFonts w:ascii="宋体" w:hAnsi="宋体" w:cs="宋体"/>
                <w:color w:val="333333"/>
                <w:kern w:val="0"/>
              </w:rPr>
            </w:pPr>
            <w:r>
              <w:rPr>
                <w:rFonts w:hint="eastAsia" w:ascii="宋体" w:hAnsi="宋体" w:cs="宋体"/>
                <w:color w:val="333333"/>
                <w:kern w:val="0"/>
              </w:rPr>
              <w:t>（3）大中型企业和其他自然人、法人或者其他组织与小型、微型企业组成联合体共同参加本项目投标，凡联合协议中约定，小型、微型企业的协议合同金额占到联合体协议合同总金额30%以上的，给予联合体2%的价格扣除；联合体各方均为小型企业的，联合体视同为小型企业；联合体各方均为微型企业的，联合体视同为微型企业</w:t>
            </w:r>
            <w:bookmarkEnd w:id="8"/>
            <w:r>
              <w:rPr>
                <w:rFonts w:hint="eastAsia" w:ascii="宋体" w:hAnsi="宋体" w:cs="宋体"/>
                <w:color w:val="333333"/>
                <w:kern w:val="0"/>
              </w:rPr>
              <w:t>。</w:t>
            </w:r>
          </w:p>
        </w:tc>
      </w:tr>
      <w:bookmarkEnd w:id="6"/>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2</w:t>
            </w:r>
            <w:r>
              <w:rPr>
                <w:rFonts w:ascii="宋体" w:hAnsi="宋体"/>
              </w:rPr>
              <w:t>1</w:t>
            </w:r>
          </w:p>
        </w:tc>
        <w:tc>
          <w:tcPr>
            <w:tcW w:w="1559" w:type="dxa"/>
            <w:vAlign w:val="center"/>
          </w:tcPr>
          <w:p>
            <w:pPr>
              <w:adjustRightInd w:val="0"/>
              <w:snapToGrid w:val="0"/>
              <w:spacing w:beforeLines="50" w:line="360" w:lineRule="auto"/>
              <w:jc w:val="center"/>
              <w:rPr>
                <w:rFonts w:hAnsi="宋体"/>
                <w:highlight w:val="white"/>
              </w:rPr>
            </w:pPr>
            <w:r>
              <w:rPr>
                <w:rFonts w:hint="eastAsia" w:ascii="宋体" w:hAnsi="宋体"/>
                <w:color w:val="0D0D0D"/>
                <w:sz w:val="24"/>
                <w:highlight w:val="white"/>
              </w:rPr>
              <w:t>监狱企业投标</w:t>
            </w:r>
          </w:p>
        </w:tc>
        <w:tc>
          <w:tcPr>
            <w:tcW w:w="6804" w:type="dxa"/>
            <w:vAlign w:val="center"/>
          </w:tcPr>
          <w:p>
            <w:pPr>
              <w:widowControl/>
              <w:shd w:val="clear" w:color="auto" w:fill="FFFFFF"/>
              <w:jc w:val="left"/>
              <w:rPr>
                <w:rFonts w:ascii="宋体" w:hAnsi="宋体" w:cs="宋体"/>
                <w:color w:val="333333"/>
                <w:kern w:val="0"/>
              </w:rPr>
            </w:pPr>
            <w:r>
              <w:rPr>
                <w:rFonts w:hint="eastAsia" w:ascii="宋体" w:hAnsi="宋体" w:cs="宋体"/>
                <w:color w:val="333333"/>
                <w:kern w:val="0"/>
              </w:rPr>
              <w:t xml:space="preserve">    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pPr>
              <w:widowControl/>
              <w:shd w:val="clear" w:color="auto" w:fill="FFFFFF"/>
              <w:jc w:val="left"/>
              <w:rPr>
                <w:rFonts w:ascii="宋体" w:hAnsi="宋体" w:cs="宋体"/>
                <w:color w:val="333333"/>
                <w:kern w:val="0"/>
              </w:rPr>
            </w:pPr>
            <w:r>
              <w:rPr>
                <w:rFonts w:hint="eastAsia" w:ascii="宋体" w:hAnsi="宋体" w:cs="宋体"/>
                <w:color w:val="333333"/>
                <w:kern w:val="0"/>
              </w:rPr>
              <w:t>监狱企业视同微型企业。</w:t>
            </w:r>
          </w:p>
          <w:p>
            <w:pPr>
              <w:widowControl/>
              <w:shd w:val="clear" w:color="auto" w:fill="FFFFFF"/>
              <w:jc w:val="left"/>
              <w:rPr>
                <w:rFonts w:ascii="宋体" w:hAnsi="宋体" w:cs="宋体"/>
                <w:color w:val="333333"/>
                <w:kern w:val="0"/>
              </w:rPr>
            </w:pPr>
            <w:r>
              <w:rPr>
                <w:rFonts w:hint="eastAsia" w:ascii="宋体" w:hAnsi="宋体" w:cs="宋体"/>
                <w:color w:val="333333"/>
                <w:kern w:val="0"/>
              </w:rPr>
              <w:t>（1）监狱企业参加本项目的投标，视同微型企业投标，提供本单位生产的产品享受8%价格扣除。</w:t>
            </w:r>
          </w:p>
          <w:p>
            <w:pPr>
              <w:widowControl/>
              <w:shd w:val="clear" w:color="auto" w:fill="FFFFFF"/>
              <w:jc w:val="left"/>
              <w:rPr>
                <w:rFonts w:ascii="宋体" w:hAnsi="宋体" w:cs="宋体"/>
                <w:color w:val="333333"/>
                <w:kern w:val="0"/>
              </w:rPr>
            </w:pPr>
            <w:r>
              <w:rPr>
                <w:rFonts w:hint="eastAsia" w:ascii="宋体" w:hAnsi="宋体" w:cs="宋体"/>
                <w:color w:val="333333"/>
                <w:kern w:val="0"/>
              </w:rPr>
              <w:t>（2）参加本次采购活动的监狱企业，应当在投标文件中提供由省级以上监狱管理局、戒毒管理局（含新疆建设生产兵团）出具的属于监狱企业的证明文件，不再提供《中小企业声明函》，不重复享受政策。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adjustRightInd w:val="0"/>
              <w:snapToGrid w:val="0"/>
              <w:spacing w:beforeLines="50" w:line="360" w:lineRule="auto"/>
              <w:jc w:val="center"/>
              <w:rPr>
                <w:rFonts w:ascii="宋体" w:hAnsi="宋体"/>
              </w:rPr>
            </w:pPr>
            <w:r>
              <w:rPr>
                <w:rFonts w:hint="eastAsia" w:ascii="宋体" w:hAnsi="宋体"/>
              </w:rPr>
              <w:t>2</w:t>
            </w:r>
            <w:r>
              <w:rPr>
                <w:rFonts w:ascii="宋体" w:hAnsi="宋体"/>
              </w:rPr>
              <w:t>2</w:t>
            </w:r>
          </w:p>
        </w:tc>
        <w:tc>
          <w:tcPr>
            <w:tcW w:w="1559" w:type="dxa"/>
            <w:vAlign w:val="center"/>
          </w:tcPr>
          <w:p>
            <w:pPr>
              <w:adjustRightInd w:val="0"/>
              <w:snapToGrid w:val="0"/>
              <w:spacing w:beforeLines="50" w:line="360" w:lineRule="auto"/>
              <w:jc w:val="center"/>
              <w:rPr>
                <w:rFonts w:hAnsi="宋体"/>
                <w:highlight w:val="white"/>
              </w:rPr>
            </w:pPr>
            <w:r>
              <w:rPr>
                <w:rFonts w:hint="eastAsia"/>
              </w:rPr>
              <w:t>残疾人福利性单位投标</w:t>
            </w:r>
          </w:p>
        </w:tc>
        <w:tc>
          <w:tcPr>
            <w:tcW w:w="6804" w:type="dxa"/>
            <w:vAlign w:val="center"/>
          </w:tcPr>
          <w:p>
            <w:pPr>
              <w:widowControl/>
              <w:shd w:val="clear" w:color="auto" w:fill="FFFFFF"/>
              <w:ind w:firstLine="420" w:firstLineChars="200"/>
              <w:jc w:val="left"/>
              <w:rPr>
                <w:rFonts w:ascii="宋体" w:hAnsi="宋体" w:cs="宋体"/>
                <w:color w:val="333333"/>
                <w:kern w:val="0"/>
              </w:rPr>
            </w:pPr>
            <w:r>
              <w:rPr>
                <w:rFonts w:hint="eastAsia" w:ascii="宋体" w:hAnsi="宋体" w:cs="宋体"/>
                <w:color w:val="333333"/>
                <w:kern w:val="0"/>
              </w:rPr>
              <w:t>残疾人福利性单位：根据财政部  民政部《中国残疾人联合会关于促进残疾人就业政府采购政策的通知》（财库【2017】141号）的规定。</w:t>
            </w:r>
          </w:p>
          <w:p>
            <w:pPr>
              <w:widowControl/>
              <w:shd w:val="clear" w:color="auto" w:fill="FFFFFF"/>
              <w:jc w:val="left"/>
              <w:rPr>
                <w:rFonts w:ascii="宋体" w:hAnsi="宋体" w:cs="宋体"/>
                <w:color w:val="333333"/>
                <w:kern w:val="0"/>
              </w:rPr>
            </w:pPr>
            <w:r>
              <w:rPr>
                <w:rFonts w:hint="eastAsia" w:ascii="宋体" w:hAnsi="宋体" w:cs="宋体"/>
                <w:color w:val="333333"/>
                <w:kern w:val="0"/>
              </w:rPr>
              <w:t>（1）残疾人福利性单位参加本项目的投标，视同小型、微型企业投标，提供本单位生产的产品享受8%的价格扣除。</w:t>
            </w:r>
          </w:p>
          <w:p>
            <w:pPr>
              <w:widowControl/>
              <w:shd w:val="clear" w:color="auto" w:fill="FFFFFF"/>
              <w:jc w:val="left"/>
              <w:rPr>
                <w:rFonts w:ascii="宋体" w:hAnsi="宋体" w:cs="宋体"/>
                <w:color w:val="333333"/>
                <w:kern w:val="0"/>
              </w:rPr>
            </w:pPr>
            <w:r>
              <w:rPr>
                <w:rFonts w:hint="eastAsia" w:ascii="宋体" w:hAnsi="宋体" w:cs="宋体"/>
                <w:color w:val="333333"/>
                <w:kern w:val="0"/>
              </w:rPr>
              <w:t>（2）参加本次采购活动的残疾人福利性单位，应当在投标文件中提供由141号文规定的《残疾人福利性单位声明函》，不再提供《中小企业声明函》，不重复享受政策。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pPr>
              <w:widowControl/>
              <w:shd w:val="clear" w:color="auto" w:fill="FFFFFF"/>
              <w:jc w:val="left"/>
              <w:rPr>
                <w:rFonts w:ascii="宋体" w:hAnsi="宋体" w:cs="宋体"/>
                <w:color w:val="333333"/>
                <w:kern w:val="0"/>
              </w:rPr>
            </w:pPr>
            <w:r>
              <w:rPr>
                <w:rFonts w:hint="eastAsia" w:ascii="宋体" w:hAnsi="宋体" w:cs="宋体"/>
                <w:color w:val="333333"/>
                <w:kern w:val="0"/>
              </w:rPr>
              <w:t>2</w:t>
            </w:r>
            <w:r>
              <w:rPr>
                <w:rFonts w:ascii="宋体" w:hAnsi="宋体" w:cs="宋体"/>
                <w:color w:val="333333"/>
                <w:kern w:val="0"/>
              </w:rPr>
              <w:t>3</w:t>
            </w:r>
          </w:p>
        </w:tc>
        <w:tc>
          <w:tcPr>
            <w:tcW w:w="1559" w:type="dxa"/>
            <w:vAlign w:val="center"/>
          </w:tcPr>
          <w:p>
            <w:pPr>
              <w:widowControl/>
              <w:shd w:val="clear" w:color="auto" w:fill="FFFFFF"/>
              <w:jc w:val="left"/>
              <w:rPr>
                <w:rFonts w:ascii="宋体" w:hAnsi="宋体" w:cs="宋体"/>
                <w:color w:val="333333"/>
                <w:kern w:val="0"/>
              </w:rPr>
            </w:pPr>
            <w:r>
              <w:rPr>
                <w:rFonts w:hint="eastAsia" w:ascii="宋体" w:hAnsi="宋体" w:cs="宋体"/>
                <w:color w:val="333333"/>
                <w:kern w:val="0"/>
              </w:rPr>
              <w:t>主要成交标的名称、规格型号、数量、单价、服务要求等</w:t>
            </w:r>
          </w:p>
          <w:p>
            <w:pPr>
              <w:widowControl/>
              <w:shd w:val="clear" w:color="auto" w:fill="FFFFFF"/>
              <w:jc w:val="left"/>
              <w:rPr>
                <w:rFonts w:ascii="宋体" w:hAnsi="宋体" w:cs="宋体"/>
                <w:color w:val="333333"/>
                <w:kern w:val="0"/>
              </w:rPr>
            </w:pPr>
          </w:p>
        </w:tc>
        <w:tc>
          <w:tcPr>
            <w:tcW w:w="6804" w:type="dxa"/>
            <w:vAlign w:val="center"/>
          </w:tcPr>
          <w:p>
            <w:pPr>
              <w:widowControl/>
              <w:shd w:val="clear" w:color="auto" w:fill="FFFFFF"/>
              <w:jc w:val="left"/>
              <w:rPr>
                <w:rFonts w:ascii="宋体" w:hAnsi="宋体" w:cs="宋体"/>
                <w:color w:val="333333"/>
                <w:kern w:val="0"/>
              </w:rPr>
            </w:pPr>
            <w:r>
              <w:rPr>
                <w:rFonts w:hint="eastAsia" w:ascii="宋体" w:hAnsi="宋体" w:cs="宋体"/>
                <w:color w:val="333333"/>
                <w:kern w:val="0"/>
              </w:rPr>
              <w:t>依据《中华人民共和国政府采购法实施条例》（国务院令第658号）规定：</w:t>
            </w:r>
          </w:p>
          <w:p>
            <w:pPr>
              <w:widowControl/>
              <w:shd w:val="clear" w:color="auto" w:fill="FFFFFF"/>
              <w:jc w:val="left"/>
              <w:rPr>
                <w:rFonts w:ascii="宋体" w:hAnsi="宋体" w:cs="宋体"/>
                <w:color w:val="333333"/>
                <w:kern w:val="0"/>
              </w:rPr>
            </w:pPr>
            <w:r>
              <w:rPr>
                <w:rFonts w:hint="eastAsia" w:ascii="宋体" w:hAnsi="宋体" w:cs="宋体"/>
                <w:color w:val="333333"/>
                <w:kern w:val="0"/>
              </w:rPr>
              <w:t>本项目将对排名第一的中标候选供应商的主要成交标的名称、规格型号、数量、单价、服务要求等，经评标委员会评审认可后随评审结果一并公示。参加本次采购活动的供应商应当在投标文件中提供有效的《主要成交标的承诺函》，如有虚假，将取消中标资格并上报芜湖市公共资源交易监督管理局按有关规定处理。</w:t>
            </w:r>
          </w:p>
          <w:p>
            <w:pPr>
              <w:widowControl/>
              <w:shd w:val="clear" w:color="auto" w:fill="FFFFFF"/>
              <w:jc w:val="left"/>
              <w:rPr>
                <w:rFonts w:ascii="宋体" w:hAnsi="宋体" w:cs="宋体"/>
                <w:color w:val="333333"/>
                <w:kern w:val="0"/>
              </w:rPr>
            </w:pPr>
            <w:r>
              <w:rPr>
                <w:rFonts w:hint="eastAsia" w:ascii="宋体" w:hAnsi="宋体" w:cs="宋体"/>
                <w:color w:val="333333"/>
                <w:kern w:val="0"/>
              </w:rPr>
              <w:t>注：主要成交标的由采购人根据项目情况设定。</w:t>
            </w:r>
          </w:p>
        </w:tc>
      </w:tr>
    </w:tbl>
    <w:p>
      <w:pPr>
        <w:jc w:val="left"/>
        <w:rPr>
          <w:rFonts w:ascii="宋体" w:hAnsi="宋体"/>
          <w:sz w:val="24"/>
        </w:rPr>
      </w:pPr>
      <w:r>
        <w:rPr>
          <w:rFonts w:hint="eastAsia" w:ascii="宋体" w:hAnsi="宋体"/>
          <w:sz w:val="24"/>
        </w:rPr>
        <w:t>新增：</w:t>
      </w:r>
    </w:p>
    <w:bookmarkEnd w:id="4"/>
    <w:p>
      <w:pPr>
        <w:pStyle w:val="13"/>
        <w:spacing w:line="276" w:lineRule="auto"/>
        <w:jc w:val="center"/>
        <w:rPr>
          <w:rFonts w:hAnsi="宋体"/>
          <w:b/>
          <w:bCs/>
          <w:sz w:val="36"/>
          <w:szCs w:val="36"/>
        </w:rPr>
      </w:pPr>
      <w:r>
        <w:rPr>
          <w:rFonts w:hAnsi="宋体"/>
          <w:b/>
          <w:bCs/>
          <w:sz w:val="36"/>
          <w:szCs w:val="36"/>
        </w:rPr>
        <w:t>第三章</w:t>
      </w:r>
      <w:r>
        <w:rPr>
          <w:rFonts w:hint="eastAsia" w:hAnsi="宋体"/>
          <w:b/>
          <w:bCs/>
          <w:sz w:val="36"/>
          <w:szCs w:val="36"/>
        </w:rPr>
        <w:t xml:space="preserve">  政府采购合同</w:t>
      </w:r>
    </w:p>
    <w:p>
      <w:pPr>
        <w:pStyle w:val="13"/>
        <w:spacing w:line="276" w:lineRule="auto"/>
        <w:ind w:firstLine="640" w:firstLineChars="200"/>
        <w:jc w:val="center"/>
        <w:rPr>
          <w:rFonts w:hAnsi="宋体"/>
          <w:bCs/>
          <w:sz w:val="32"/>
          <w:szCs w:val="32"/>
        </w:rPr>
      </w:pPr>
      <w:r>
        <w:rPr>
          <w:rFonts w:hint="eastAsia" w:hAnsi="宋体"/>
          <w:bCs/>
          <w:sz w:val="32"/>
          <w:szCs w:val="32"/>
        </w:rPr>
        <w:t>由中标人与采购人（业主）具体商签。</w:t>
      </w:r>
    </w:p>
    <w:p>
      <w:pPr>
        <w:pStyle w:val="13"/>
        <w:spacing w:line="276" w:lineRule="auto"/>
        <w:ind w:firstLine="480" w:firstLineChars="200"/>
        <w:jc w:val="center"/>
        <w:rPr>
          <w:rFonts w:hAnsi="宋体"/>
          <w:bCs/>
          <w:sz w:val="24"/>
          <w:szCs w:val="24"/>
        </w:rPr>
      </w:pPr>
    </w:p>
    <w:p>
      <w:pPr>
        <w:spacing w:line="276" w:lineRule="auto"/>
        <w:jc w:val="center"/>
        <w:rPr>
          <w:rFonts w:ascii="宋体" w:hAnsi="宋体" w:cs="宋体"/>
          <w:b/>
          <w:bCs/>
          <w:sz w:val="24"/>
        </w:rPr>
      </w:pPr>
      <w:r>
        <w:rPr>
          <w:rFonts w:hint="eastAsia" w:ascii="宋体" w:hAnsi="宋体" w:cs="宋体"/>
          <w:b/>
          <w:bCs/>
          <w:sz w:val="24"/>
        </w:rPr>
        <w:t>合同特殊条款</w:t>
      </w:r>
    </w:p>
    <w:p>
      <w:pPr>
        <w:spacing w:line="276" w:lineRule="auto"/>
        <w:jc w:val="center"/>
        <w:rPr>
          <w:rFonts w:ascii="宋体" w:hAnsi="宋体" w:cs="宋体"/>
          <w:b/>
          <w:bCs/>
          <w:sz w:val="24"/>
        </w:rPr>
      </w:pPr>
    </w:p>
    <w:p>
      <w:pPr>
        <w:spacing w:line="360" w:lineRule="auto"/>
        <w:jc w:val="left"/>
        <w:rPr>
          <w:rFonts w:hint="default" w:ascii="宋体" w:hAnsi="宋体" w:eastAsiaTheme="minorEastAsia"/>
          <w:sz w:val="24"/>
          <w:lang w:val="en-US" w:eastAsia="zh-CN"/>
        </w:rPr>
      </w:pPr>
      <w:r>
        <w:rPr>
          <w:rFonts w:hint="eastAsia" w:ascii="宋体" w:hAnsi="宋体"/>
          <w:sz w:val="24"/>
        </w:rPr>
        <w:t>1、</w:t>
      </w:r>
      <w:r>
        <w:rPr>
          <w:rFonts w:ascii="宋体" w:hAnsi="宋体"/>
          <w:color w:val="000000"/>
          <w:sz w:val="24"/>
        </w:rPr>
        <w:t>项目现场为：</w:t>
      </w:r>
      <w:r>
        <w:rPr>
          <w:rFonts w:hint="eastAsia" w:ascii="宋体" w:hAnsi="宋体"/>
          <w:sz w:val="24"/>
          <w:lang w:val="en-US" w:eastAsia="zh-CN"/>
        </w:rPr>
        <w:t>业主指定</w:t>
      </w:r>
    </w:p>
    <w:p>
      <w:pPr>
        <w:spacing w:line="360" w:lineRule="exact"/>
        <w:jc w:val="left"/>
        <w:rPr>
          <w:rFonts w:ascii="宋体" w:hAnsi="宋体"/>
          <w:sz w:val="24"/>
        </w:rPr>
      </w:pPr>
    </w:p>
    <w:p>
      <w:pPr>
        <w:numPr>
          <w:ilvl w:val="0"/>
          <w:numId w:val="2"/>
        </w:numPr>
        <w:spacing w:line="360" w:lineRule="auto"/>
        <w:jc w:val="left"/>
        <w:rPr>
          <w:rFonts w:ascii="宋体" w:hAnsi="宋体"/>
          <w:color w:val="FF0000"/>
          <w:sz w:val="24"/>
        </w:rPr>
      </w:pPr>
      <w:r>
        <w:rPr>
          <w:rFonts w:ascii="宋体" w:hAnsi="宋体"/>
          <w:color w:val="FF0000"/>
          <w:sz w:val="24"/>
        </w:rPr>
        <w:t>付款应按下列条件进行：</w:t>
      </w:r>
      <w:r>
        <w:rPr>
          <w:rFonts w:hint="eastAsia" w:ascii="宋体" w:hAnsi="宋体"/>
          <w:color w:val="FF0000"/>
          <w:sz w:val="24"/>
          <w:lang w:val="en-US" w:eastAsia="zh-CN"/>
        </w:rPr>
        <w:t>详见采购需求说明</w:t>
      </w:r>
    </w:p>
    <w:p>
      <w:pPr>
        <w:spacing w:line="360" w:lineRule="exact"/>
        <w:ind w:firstLine="537" w:firstLineChars="224"/>
        <w:jc w:val="left"/>
        <w:rPr>
          <w:rFonts w:ascii="宋体" w:hAnsi="宋体"/>
          <w:sz w:val="24"/>
        </w:rPr>
      </w:pPr>
    </w:p>
    <w:p>
      <w:pPr>
        <w:spacing w:line="360" w:lineRule="exact"/>
        <w:jc w:val="left"/>
        <w:rPr>
          <w:rFonts w:ascii="宋体" w:hAnsi="宋体"/>
          <w:sz w:val="24"/>
        </w:rPr>
      </w:pPr>
      <w:r>
        <w:rPr>
          <w:rFonts w:hint="eastAsia" w:ascii="宋体" w:hAnsi="宋体"/>
          <w:sz w:val="24"/>
        </w:rPr>
        <w:t>3、</w:t>
      </w:r>
      <w:r>
        <w:rPr>
          <w:rFonts w:ascii="宋体" w:hAnsi="宋体"/>
          <w:sz w:val="24"/>
        </w:rPr>
        <w:t>本合同买方为：</w:t>
      </w:r>
      <w:r>
        <w:rPr>
          <w:rFonts w:hint="eastAsia" w:ascii="宋体" w:hAnsi="宋体" w:eastAsia="宋体" w:cs="宋体"/>
          <w:color w:val="333333"/>
          <w:kern w:val="2"/>
          <w:sz w:val="24"/>
          <w:szCs w:val="24"/>
        </w:rPr>
        <w:t>芜湖市发展和改革委员会</w:t>
      </w:r>
    </w:p>
    <w:p>
      <w:pPr>
        <w:spacing w:line="360" w:lineRule="exact"/>
        <w:ind w:firstLine="612" w:firstLineChars="255"/>
        <w:jc w:val="left"/>
        <w:rPr>
          <w:rFonts w:ascii="宋体" w:hAnsi="宋体"/>
          <w:sz w:val="24"/>
        </w:rPr>
      </w:pPr>
    </w:p>
    <w:p>
      <w:pPr>
        <w:numPr>
          <w:ilvl w:val="0"/>
          <w:numId w:val="0"/>
        </w:numPr>
        <w:spacing w:line="360" w:lineRule="exact"/>
        <w:ind w:leftChars="0"/>
        <w:jc w:val="left"/>
        <w:rPr>
          <w:rFonts w:ascii="宋体" w:hAnsi="宋体"/>
          <w:sz w:val="24"/>
        </w:rPr>
      </w:pPr>
      <w:r>
        <w:rPr>
          <w:rFonts w:hint="eastAsia" w:ascii="宋体" w:hAnsi="宋体"/>
          <w:sz w:val="24"/>
          <w:lang w:val="en-US" w:eastAsia="zh-CN"/>
        </w:rPr>
        <w:t>4、</w:t>
      </w:r>
      <w:r>
        <w:rPr>
          <w:rFonts w:hint="eastAsia" w:ascii="宋体" w:hAnsi="宋体"/>
          <w:sz w:val="24"/>
        </w:rPr>
        <w:t>服务期</w:t>
      </w:r>
      <w:r>
        <w:rPr>
          <w:rFonts w:ascii="宋体" w:hAnsi="宋体"/>
          <w:sz w:val="24"/>
        </w:rPr>
        <w:t>：</w:t>
      </w:r>
    </w:p>
    <w:p>
      <w:pPr>
        <w:numPr>
          <w:ilvl w:val="0"/>
          <w:numId w:val="0"/>
        </w:numPr>
        <w:spacing w:line="360" w:lineRule="exact"/>
        <w:ind w:leftChars="0"/>
        <w:jc w:val="left"/>
        <w:rPr>
          <w:rFonts w:ascii="宋体" w:hAnsi="宋体"/>
          <w:color w:val="FF0000"/>
          <w:sz w:val="24"/>
        </w:rPr>
      </w:pPr>
      <w:r>
        <w:rPr>
          <w:rFonts w:hint="eastAsia" w:ascii="宋体" w:hAnsi="宋体"/>
          <w:color w:val="FF0000"/>
          <w:sz w:val="24"/>
          <w:lang w:val="en-US" w:eastAsia="zh-CN"/>
        </w:rPr>
        <w:t>4.</w:t>
      </w:r>
      <w:r>
        <w:rPr>
          <w:rFonts w:hint="eastAsia" w:ascii="宋体" w:hAnsi="宋体"/>
          <w:color w:val="FF0000"/>
          <w:sz w:val="24"/>
        </w:rPr>
        <w:t>1、202</w:t>
      </w:r>
      <w:r>
        <w:rPr>
          <w:rFonts w:ascii="宋体" w:hAnsi="宋体"/>
          <w:color w:val="FF0000"/>
          <w:sz w:val="24"/>
        </w:rPr>
        <w:t>1</w:t>
      </w:r>
      <w:r>
        <w:rPr>
          <w:rFonts w:hint="eastAsia" w:ascii="宋体" w:hAnsi="宋体"/>
          <w:color w:val="FF0000"/>
          <w:sz w:val="24"/>
        </w:rPr>
        <w:t>年</w:t>
      </w:r>
      <w:r>
        <w:rPr>
          <w:rFonts w:ascii="宋体" w:hAnsi="宋体"/>
          <w:color w:val="FF0000"/>
          <w:sz w:val="24"/>
        </w:rPr>
        <w:t>10</w:t>
      </w:r>
      <w:r>
        <w:rPr>
          <w:rFonts w:hint="eastAsia" w:ascii="宋体" w:hAnsi="宋体"/>
          <w:color w:val="FF0000"/>
          <w:sz w:val="24"/>
        </w:rPr>
        <w:t>月30日前提交全套规划成果并通过专家评审，202</w:t>
      </w:r>
      <w:r>
        <w:rPr>
          <w:rFonts w:ascii="宋体" w:hAnsi="宋体"/>
          <w:color w:val="FF0000"/>
          <w:sz w:val="24"/>
        </w:rPr>
        <w:t>1</w:t>
      </w:r>
      <w:r>
        <w:rPr>
          <w:rFonts w:hint="eastAsia" w:ascii="宋体" w:hAnsi="宋体"/>
          <w:color w:val="FF0000"/>
          <w:sz w:val="24"/>
        </w:rPr>
        <w:t>年12月31日前修改完善并提交最终成果。</w:t>
      </w:r>
    </w:p>
    <w:p>
      <w:pPr>
        <w:spacing w:line="360" w:lineRule="exact"/>
        <w:jc w:val="left"/>
        <w:rPr>
          <w:rFonts w:ascii="宋体" w:hAnsi="宋体"/>
          <w:color w:val="FF0000"/>
          <w:sz w:val="24"/>
        </w:rPr>
      </w:pPr>
      <w:r>
        <w:rPr>
          <w:rFonts w:hint="eastAsia" w:ascii="宋体" w:hAnsi="宋体"/>
          <w:color w:val="FF0000"/>
          <w:sz w:val="24"/>
          <w:lang w:val="en-US" w:eastAsia="zh-CN"/>
        </w:rPr>
        <w:t>4.</w:t>
      </w:r>
      <w:r>
        <w:rPr>
          <w:rFonts w:hint="eastAsia" w:ascii="宋体" w:hAnsi="宋体"/>
          <w:color w:val="FF0000"/>
          <w:sz w:val="24"/>
        </w:rPr>
        <w:t>2、在全套正式成果提交后，中标人需提供一年的免费后期服务，包括对规划方案的沟通与解读、对方案后期深化实施过程中的问题进行解答，提供免费更新等技术服务和支持。</w:t>
      </w:r>
    </w:p>
    <w:p>
      <w:pPr>
        <w:spacing w:line="360" w:lineRule="exact"/>
        <w:jc w:val="left"/>
        <w:rPr>
          <w:rFonts w:ascii="宋体" w:hAnsi="宋体"/>
          <w:sz w:val="24"/>
        </w:rPr>
      </w:pPr>
    </w:p>
    <w:p>
      <w:pPr>
        <w:spacing w:line="360" w:lineRule="exact"/>
        <w:ind w:left="612"/>
        <w:jc w:val="left"/>
        <w:rPr>
          <w:rFonts w:ascii="宋体" w:hAnsi="宋体"/>
          <w:sz w:val="24"/>
        </w:rPr>
      </w:pPr>
    </w:p>
    <w:p>
      <w:pPr>
        <w:spacing w:line="360" w:lineRule="exact"/>
        <w:jc w:val="left"/>
        <w:rPr>
          <w:rFonts w:ascii="宋体" w:hAnsi="宋体"/>
          <w:sz w:val="24"/>
        </w:rPr>
      </w:pPr>
      <w:r>
        <w:rPr>
          <w:rFonts w:hint="eastAsia" w:ascii="宋体" w:hAnsi="宋体"/>
          <w:sz w:val="24"/>
        </w:rPr>
        <w:t>5、</w:t>
      </w:r>
      <w:r>
        <w:rPr>
          <w:rFonts w:ascii="宋体" w:hAnsi="宋体"/>
          <w:sz w:val="24"/>
        </w:rPr>
        <w:t>交货地点：</w:t>
      </w:r>
      <w:r>
        <w:rPr>
          <w:rFonts w:hint="eastAsia" w:ascii="宋体" w:hAnsi="宋体"/>
          <w:sz w:val="24"/>
          <w:lang w:val="en-US" w:eastAsia="zh-CN"/>
        </w:rPr>
        <w:t>业主指定</w:t>
      </w:r>
    </w:p>
    <w:p>
      <w:pPr>
        <w:spacing w:line="360" w:lineRule="exact"/>
        <w:rPr>
          <w:rFonts w:ascii="宋体" w:hAnsi="宋体"/>
          <w:sz w:val="24"/>
        </w:rPr>
      </w:pPr>
    </w:p>
    <w:p>
      <w:pPr>
        <w:pStyle w:val="13"/>
        <w:spacing w:line="276" w:lineRule="auto"/>
        <w:jc w:val="center"/>
        <w:rPr>
          <w:rFonts w:hAnsi="宋体"/>
          <w:b/>
          <w:sz w:val="24"/>
          <w:szCs w:val="24"/>
        </w:rPr>
      </w:pPr>
      <w:r>
        <w:rPr>
          <w:rFonts w:hAnsi="宋体"/>
          <w:color w:val="000000"/>
          <w:sz w:val="24"/>
          <w:szCs w:val="24"/>
        </w:rPr>
        <w:br w:type="page"/>
      </w:r>
      <w:r>
        <w:rPr>
          <w:rFonts w:hint="eastAsia" w:hAnsi="宋体"/>
          <w:b/>
          <w:bCs/>
          <w:sz w:val="24"/>
          <w:szCs w:val="24"/>
        </w:rPr>
        <w:t xml:space="preserve">第四章  </w:t>
      </w:r>
      <w:r>
        <w:rPr>
          <w:rFonts w:hint="eastAsia" w:hAnsi="宋体"/>
          <w:b/>
          <w:sz w:val="24"/>
          <w:szCs w:val="24"/>
        </w:rPr>
        <w:t>采购项目需求及具体要求</w:t>
      </w:r>
    </w:p>
    <w:p>
      <w:pPr>
        <w:pStyle w:val="83"/>
        <w:ind w:firstLine="470" w:firstLineChars="196"/>
        <w:rPr>
          <w:rFonts w:ascii="宋体" w:hAnsi="宋体"/>
          <w:color w:val="000000"/>
          <w:sz w:val="24"/>
          <w:szCs w:val="24"/>
        </w:rPr>
      </w:pPr>
      <w:r>
        <w:rPr>
          <w:rFonts w:hint="eastAsia" w:ascii="宋体" w:hAnsi="宋体"/>
          <w:color w:val="000000"/>
          <w:sz w:val="24"/>
          <w:szCs w:val="24"/>
        </w:rPr>
        <w:t>注：1、以下《采购需求说明》及《采购需求一览表》所列内容为招标人（采购人）所提招标（采购）需求，投标人（供应商）应认真仔细研究，投标时应慎重选择相应符合要求的服务进行投标。</w:t>
      </w:r>
    </w:p>
    <w:p>
      <w:pPr>
        <w:pStyle w:val="83"/>
        <w:ind w:firstLine="470" w:firstLineChars="196"/>
        <w:rPr>
          <w:rFonts w:ascii="宋体" w:hAnsi="宋体"/>
          <w:color w:val="000000"/>
          <w:sz w:val="24"/>
          <w:szCs w:val="24"/>
        </w:rPr>
      </w:pPr>
      <w:r>
        <w:rPr>
          <w:rFonts w:hint="eastAsia" w:ascii="宋体" w:hAnsi="宋体"/>
          <w:color w:val="000000"/>
          <w:sz w:val="24"/>
          <w:szCs w:val="24"/>
        </w:rPr>
        <w:t>2、采购文件中加注星号(“*”)的任何一项主要技术参数无技术资料支持的，投标无效。</w:t>
      </w:r>
    </w:p>
    <w:p>
      <w:pPr>
        <w:pStyle w:val="83"/>
        <w:ind w:firstLine="470" w:firstLineChars="196"/>
        <w:rPr>
          <w:rFonts w:ascii="宋体" w:hAnsi="宋体"/>
          <w:color w:val="000000"/>
          <w:sz w:val="24"/>
          <w:szCs w:val="24"/>
        </w:rPr>
      </w:pPr>
      <w:r>
        <w:rPr>
          <w:rFonts w:hint="eastAsia" w:ascii="宋体" w:hAnsi="宋体"/>
          <w:color w:val="000000"/>
          <w:sz w:val="24"/>
          <w:szCs w:val="24"/>
        </w:rPr>
        <w:t>3、本项目竞争性磋商文件通用部分第四章中“竞争性磋商响应文件格式”内容应根据项目需要和评标办法规定填写；如不需要，则填写无。</w:t>
      </w:r>
    </w:p>
    <w:p>
      <w:pPr>
        <w:pStyle w:val="83"/>
        <w:ind w:firstLine="470" w:firstLineChars="196"/>
        <w:rPr>
          <w:rFonts w:ascii="宋体" w:hAnsi="宋体"/>
          <w:sz w:val="24"/>
          <w:szCs w:val="24"/>
        </w:rPr>
      </w:pPr>
      <w:r>
        <w:rPr>
          <w:rFonts w:hint="eastAsia" w:ascii="宋体" w:hAnsi="宋体"/>
          <w:sz w:val="24"/>
          <w:szCs w:val="24"/>
        </w:rPr>
        <w:t>4、中标人和采购人签订的合同应与竞争性磋商文件中的采购合同一致，不得另行签订与采购合同相背离的其他合同。</w:t>
      </w:r>
    </w:p>
    <w:p>
      <w:pPr>
        <w:pStyle w:val="83"/>
        <w:ind w:firstLine="470" w:firstLineChars="196"/>
        <w:rPr>
          <w:rFonts w:ascii="宋体" w:hAnsi="宋体"/>
          <w:sz w:val="24"/>
          <w:szCs w:val="24"/>
        </w:rPr>
      </w:pPr>
      <w:r>
        <w:rPr>
          <w:rFonts w:hint="eastAsia" w:ascii="宋体" w:hAnsi="宋体"/>
          <w:sz w:val="24"/>
          <w:szCs w:val="24"/>
        </w:rPr>
        <w:t>5、</w:t>
      </w:r>
      <w:r>
        <w:rPr>
          <w:rFonts w:hint="eastAsia" w:ascii="宋体" w:hAnsi="宋体"/>
          <w:color w:val="000000"/>
          <w:sz w:val="24"/>
          <w:szCs w:val="24"/>
        </w:rPr>
        <w:t>下列《采购需求一览表》中：标注▲的服务，投标供应商在竞争性磋商响应文件《主要成交标的承诺函》中填写服务项目名称、服务要求简述、数量、单价等信息，承诺函经评标委员会评审认可后随评审结果一并公示，如竞争性磋商响应文件中未提供、提供不全将可能导致投标无效。采购人（采购代理机构）在编制竞争性磋商文件时必须将采购的主要产品(包括核心产品)标注“▲”。按照竞争性磋商文件要求，标注 “▲”号的产品，投标人必须在“主要成交标的承诺函中”填写该产品的名称规格、型号、数量、单价等具体信息。</w:t>
      </w:r>
    </w:p>
    <w:p>
      <w:pPr>
        <w:pStyle w:val="83"/>
        <w:ind w:firstLine="470" w:firstLineChars="196"/>
        <w:rPr>
          <w:rFonts w:ascii="宋体" w:hAnsi="宋体"/>
          <w:sz w:val="24"/>
          <w:szCs w:val="24"/>
        </w:rPr>
      </w:pPr>
    </w:p>
    <w:p>
      <w:pPr>
        <w:pStyle w:val="83"/>
        <w:ind w:firstLine="470" w:firstLineChars="196"/>
        <w:rPr>
          <w:rFonts w:ascii="宋体" w:hAnsi="宋体"/>
          <w:color w:val="000000"/>
          <w:sz w:val="24"/>
          <w:szCs w:val="24"/>
        </w:rPr>
      </w:pPr>
    </w:p>
    <w:p>
      <w:pPr>
        <w:pStyle w:val="83"/>
        <w:ind w:firstLine="470" w:firstLineChars="196"/>
        <w:jc w:val="center"/>
        <w:rPr>
          <w:rFonts w:ascii="宋体" w:hAnsi="宋体"/>
          <w:color w:val="000000"/>
          <w:sz w:val="24"/>
          <w:szCs w:val="24"/>
        </w:rPr>
      </w:pPr>
      <w:r>
        <w:rPr>
          <w:rFonts w:hint="eastAsia" w:ascii="宋体" w:hAnsi="宋体"/>
          <w:color w:val="000000"/>
          <w:sz w:val="24"/>
          <w:szCs w:val="24"/>
        </w:rPr>
        <w:t>采购需求说明</w:t>
      </w:r>
    </w:p>
    <w:p>
      <w:pPr>
        <w:rPr>
          <w:color w:val="000080"/>
          <w:sz w:val="20"/>
        </w:rPr>
      </w:pPr>
    </w:p>
    <w:p>
      <w:pPr>
        <w:widowControl/>
        <w:spacing w:before="100" w:after="100" w:line="360" w:lineRule="atLeast"/>
        <w:ind w:left="30" w:firstLine="420"/>
        <w:jc w:val="left"/>
        <w:rPr>
          <w:rFonts w:ascii="宋体" w:hAnsi="宋体" w:cs="宋体"/>
          <w:b/>
          <w:bCs/>
          <w:kern w:val="0"/>
          <w:sz w:val="24"/>
        </w:rPr>
      </w:pPr>
      <w:r>
        <w:rPr>
          <w:rFonts w:hint="eastAsia" w:ascii="宋体" w:hAnsi="宋体" w:cs="宋体"/>
          <w:b/>
          <w:bCs/>
          <w:kern w:val="0"/>
          <w:sz w:val="24"/>
        </w:rPr>
        <w:t>一、项目技术要求</w:t>
      </w:r>
    </w:p>
    <w:p>
      <w:pPr>
        <w:widowControl/>
        <w:spacing w:before="100" w:after="100" w:line="360" w:lineRule="atLeast"/>
        <w:ind w:left="30" w:firstLine="420"/>
        <w:jc w:val="left"/>
        <w:rPr>
          <w:rFonts w:ascii="宋体" w:hAnsi="宋体" w:cs="宋体"/>
          <w:b/>
          <w:kern w:val="0"/>
          <w:sz w:val="24"/>
        </w:rPr>
      </w:pPr>
      <w:r>
        <w:rPr>
          <w:rFonts w:hint="eastAsia" w:ascii="宋体" w:hAnsi="宋体" w:cs="宋体"/>
          <w:b/>
          <w:kern w:val="0"/>
          <w:sz w:val="24"/>
        </w:rPr>
        <w:t>（一）编制背景</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芜宣机场</w:t>
      </w:r>
      <w:r>
        <w:rPr>
          <w:rFonts w:hint="eastAsia" w:ascii="宋体" w:hAnsi="宋体" w:cs="宋体"/>
          <w:kern w:val="0"/>
          <w:sz w:val="24"/>
        </w:rPr>
        <w:t>（</w:t>
      </w:r>
      <w:r>
        <w:rPr>
          <w:rFonts w:ascii="宋体" w:hAnsi="宋体" w:cs="宋体"/>
          <w:kern w:val="0"/>
          <w:sz w:val="24"/>
        </w:rPr>
        <w:t>芜湖宣州机场</w:t>
      </w:r>
      <w:r>
        <w:rPr>
          <w:rFonts w:hint="eastAsia" w:ascii="宋体" w:hAnsi="宋体" w:cs="宋体"/>
          <w:kern w:val="0"/>
          <w:sz w:val="24"/>
        </w:rPr>
        <w:t>）</w:t>
      </w:r>
      <w:r>
        <w:rPr>
          <w:rFonts w:ascii="宋体" w:hAnsi="宋体" w:cs="宋体"/>
          <w:kern w:val="0"/>
          <w:sz w:val="24"/>
        </w:rPr>
        <w:t>位于中国安徽省</w:t>
      </w:r>
      <w:r>
        <w:fldChar w:fldCharType="begin"/>
      </w:r>
      <w:r>
        <w:instrText xml:space="preserve"> HYPERLINK "https://baike.baidu.com/item/%E8%8A%9C%E6%B9%96%E5%B8%82/211408" \t "_blank" </w:instrText>
      </w:r>
      <w:r>
        <w:fldChar w:fldCharType="separate"/>
      </w:r>
      <w:r>
        <w:rPr>
          <w:rFonts w:ascii="宋体" w:hAnsi="宋体" w:cs="宋体"/>
          <w:kern w:val="0"/>
          <w:sz w:val="24"/>
        </w:rPr>
        <w:t>芜湖市</w:t>
      </w:r>
      <w:r>
        <w:rPr>
          <w:rFonts w:ascii="宋体" w:hAnsi="宋体" w:cs="宋体"/>
          <w:kern w:val="0"/>
          <w:sz w:val="24"/>
        </w:rPr>
        <w:fldChar w:fldCharType="end"/>
      </w:r>
      <w:r>
        <w:fldChar w:fldCharType="begin"/>
      </w:r>
      <w:r>
        <w:instrText xml:space="preserve"> HYPERLINK "https://baike.baidu.com/item/%E6%B9%BE%E6%B2%9A%E5%8C%BA/22671815" \t "_blank" </w:instrText>
      </w:r>
      <w:r>
        <w:fldChar w:fldCharType="separate"/>
      </w:r>
      <w:r>
        <w:rPr>
          <w:rFonts w:ascii="宋体" w:hAnsi="宋体" w:cs="宋体"/>
          <w:kern w:val="0"/>
          <w:sz w:val="24"/>
        </w:rPr>
        <w:t>湾沚区</w:t>
      </w:r>
      <w:r>
        <w:rPr>
          <w:rFonts w:ascii="宋体" w:hAnsi="宋体" w:cs="宋体"/>
          <w:kern w:val="0"/>
          <w:sz w:val="24"/>
        </w:rPr>
        <w:fldChar w:fldCharType="end"/>
      </w:r>
      <w:r>
        <w:rPr>
          <w:rFonts w:ascii="宋体" w:hAnsi="宋体" w:cs="宋体"/>
          <w:kern w:val="0"/>
          <w:sz w:val="24"/>
        </w:rPr>
        <w:t>湾沚镇和宣城市</w:t>
      </w:r>
      <w:r>
        <w:fldChar w:fldCharType="begin"/>
      </w:r>
      <w:r>
        <w:instrText xml:space="preserve"> HYPERLINK "https://baike.baidu.com/item/%E5%AE%A3%E5%B7%9E%E5%8C%BA/6703270" \t "_blank" </w:instrText>
      </w:r>
      <w:r>
        <w:fldChar w:fldCharType="separate"/>
      </w:r>
      <w:r>
        <w:rPr>
          <w:rFonts w:ascii="宋体" w:hAnsi="宋体" w:cs="宋体"/>
          <w:kern w:val="0"/>
          <w:sz w:val="24"/>
        </w:rPr>
        <w:t>宣州区</w:t>
      </w:r>
      <w:r>
        <w:rPr>
          <w:rFonts w:ascii="宋体" w:hAnsi="宋体" w:cs="宋体"/>
          <w:kern w:val="0"/>
          <w:sz w:val="24"/>
        </w:rPr>
        <w:fldChar w:fldCharType="end"/>
      </w:r>
      <w:r>
        <w:rPr>
          <w:rFonts w:ascii="宋体" w:hAnsi="宋体" w:cs="宋体"/>
          <w:kern w:val="0"/>
          <w:sz w:val="24"/>
        </w:rPr>
        <w:t>养贤乡，西北距芜湖市湾沚区城区5千米，西北距芜湖市中心38千米，东南距宣城市宣州区城区19.5千米，为4C级国内机场、芜湖市与宣城市共建机场。芜宣机场航站楼面积2.5万平方米，站坪设11个机位；跑道长2800米，宽45米</w:t>
      </w:r>
      <w:r>
        <w:rPr>
          <w:rFonts w:hint="eastAsia" w:ascii="宋体" w:hAnsi="宋体" w:cs="宋体"/>
          <w:kern w:val="0"/>
          <w:sz w:val="24"/>
        </w:rPr>
        <w:t>。</w:t>
      </w:r>
      <w:r>
        <w:rPr>
          <w:rFonts w:ascii="宋体" w:hAnsi="宋体" w:cs="宋体"/>
          <w:kern w:val="0"/>
          <w:sz w:val="24"/>
        </w:rPr>
        <w:t>近期</w:t>
      </w:r>
      <w:r>
        <w:rPr>
          <w:rFonts w:hint="eastAsia" w:ascii="宋体" w:hAnsi="宋体" w:cs="宋体"/>
          <w:kern w:val="0"/>
          <w:sz w:val="24"/>
        </w:rPr>
        <w:t>（2</w:t>
      </w:r>
      <w:r>
        <w:rPr>
          <w:rFonts w:ascii="宋体" w:hAnsi="宋体" w:cs="宋体"/>
          <w:kern w:val="0"/>
          <w:sz w:val="24"/>
        </w:rPr>
        <w:t>025</w:t>
      </w:r>
      <w:r>
        <w:rPr>
          <w:rFonts w:hint="eastAsia" w:ascii="宋体" w:hAnsi="宋体" w:cs="宋体"/>
          <w:kern w:val="0"/>
          <w:sz w:val="24"/>
        </w:rPr>
        <w:t>年）</w:t>
      </w:r>
      <w:r>
        <w:rPr>
          <w:rFonts w:ascii="宋体" w:hAnsi="宋体" w:cs="宋体"/>
          <w:kern w:val="0"/>
          <w:sz w:val="24"/>
        </w:rPr>
        <w:t>年</w:t>
      </w:r>
      <w:r>
        <w:fldChar w:fldCharType="begin"/>
      </w:r>
      <w:r>
        <w:instrText xml:space="preserve"> HYPERLINK "https://baike.baidu.com/item/%E6%97%85%E5%AE%A2%E5%90%9E%E5%90%90%E9%87%8F/7041364" \t "_blank" </w:instrText>
      </w:r>
      <w:r>
        <w:fldChar w:fldCharType="separate"/>
      </w:r>
      <w:r>
        <w:rPr>
          <w:rFonts w:ascii="宋体" w:hAnsi="宋体" w:cs="宋体"/>
          <w:kern w:val="0"/>
          <w:sz w:val="24"/>
        </w:rPr>
        <w:t>旅客吞吐量</w:t>
      </w:r>
      <w:r>
        <w:rPr>
          <w:rFonts w:ascii="宋体" w:hAnsi="宋体" w:cs="宋体"/>
          <w:kern w:val="0"/>
          <w:sz w:val="24"/>
        </w:rPr>
        <w:fldChar w:fldCharType="end"/>
      </w:r>
      <w:r>
        <w:rPr>
          <w:rFonts w:ascii="宋体" w:hAnsi="宋体" w:cs="宋体"/>
          <w:kern w:val="0"/>
          <w:sz w:val="24"/>
        </w:rPr>
        <w:t>175万人次、货邮吞吐量1万吨、飞机起降22245架次</w:t>
      </w:r>
      <w:r>
        <w:rPr>
          <w:rFonts w:hint="eastAsia" w:ascii="宋体" w:hAnsi="宋体" w:cs="宋体"/>
          <w:kern w:val="0"/>
          <w:sz w:val="24"/>
        </w:rPr>
        <w:t>；</w:t>
      </w:r>
      <w:r>
        <w:rPr>
          <w:rFonts w:ascii="宋体" w:hAnsi="宋体" w:cs="宋体"/>
          <w:kern w:val="0"/>
          <w:sz w:val="24"/>
        </w:rPr>
        <w:t>远期</w:t>
      </w:r>
      <w:r>
        <w:rPr>
          <w:rFonts w:hint="eastAsia" w:ascii="宋体" w:hAnsi="宋体" w:cs="宋体"/>
          <w:kern w:val="0"/>
          <w:sz w:val="24"/>
        </w:rPr>
        <w:t>（2</w:t>
      </w:r>
      <w:r>
        <w:rPr>
          <w:rFonts w:ascii="宋体" w:hAnsi="宋体" w:cs="宋体"/>
          <w:kern w:val="0"/>
          <w:sz w:val="24"/>
        </w:rPr>
        <w:t>045</w:t>
      </w:r>
      <w:r>
        <w:rPr>
          <w:rFonts w:hint="eastAsia" w:ascii="宋体" w:hAnsi="宋体" w:cs="宋体"/>
          <w:kern w:val="0"/>
          <w:sz w:val="24"/>
        </w:rPr>
        <w:t>年）</w:t>
      </w:r>
      <w:r>
        <w:rPr>
          <w:rFonts w:ascii="宋体" w:hAnsi="宋体" w:cs="宋体"/>
          <w:kern w:val="0"/>
          <w:sz w:val="24"/>
        </w:rPr>
        <w:t>年旅客吞吐量430万人次、年货邮吞吐量7万吨、年运输飞机起降38050架次</w:t>
      </w:r>
      <w:r>
        <w:rPr>
          <w:rFonts w:hint="eastAsia" w:ascii="宋体" w:hAnsi="宋体" w:cs="宋体"/>
          <w:kern w:val="0"/>
          <w:sz w:val="24"/>
        </w:rPr>
        <w:t>。</w:t>
      </w:r>
    </w:p>
    <w:p>
      <w:pPr>
        <w:spacing w:before="156" w:beforeLines="50" w:after="156" w:afterLines="50" w:line="360" w:lineRule="auto"/>
        <w:ind w:right="-15" w:firstLine="548"/>
        <w:rPr>
          <w:rFonts w:hint="eastAsia" w:ascii="宋体" w:hAnsi="宋体"/>
          <w:sz w:val="24"/>
        </w:rPr>
      </w:pPr>
      <w:r>
        <w:rPr>
          <w:rFonts w:hint="eastAsia" w:ascii="宋体" w:hAnsi="宋体"/>
          <w:sz w:val="24"/>
        </w:rPr>
        <w:t>芜宣</w:t>
      </w:r>
      <w:r>
        <w:rPr>
          <w:rFonts w:ascii="宋体" w:hAnsi="宋体"/>
          <w:sz w:val="24"/>
        </w:rPr>
        <w:t>机场服务于</w:t>
      </w:r>
      <w:r>
        <w:rPr>
          <w:rFonts w:hint="eastAsia" w:ascii="宋体" w:hAnsi="宋体"/>
          <w:sz w:val="24"/>
        </w:rPr>
        <w:t>芜湖、宣城及周边地区并辐射长三角的综合交通枢纽</w:t>
      </w:r>
      <w:r>
        <w:rPr>
          <w:rFonts w:ascii="宋体" w:hAnsi="宋体"/>
          <w:sz w:val="24"/>
        </w:rPr>
        <w:t>，</w:t>
      </w:r>
      <w:r>
        <w:rPr>
          <w:rFonts w:hint="eastAsia" w:ascii="宋体" w:hAnsi="宋体"/>
          <w:sz w:val="24"/>
        </w:rPr>
        <w:t>芜宣机场的规划建设，有利于加快推动安徽省早日实现中部崛起、融入长三角城市群的总体战略目标，加快实现皖江城市带一体化发展目标。为了打造国际先进、国内一流的现代航空港综合交通枢纽，充分借鉴国内外先进规划设计理念，编制具有科学性、先进性、系统性、完整性和可实施性的综合交通枢纽规划，是适应未来芜宣机场枢纽发展需求、加快和提升芜宣机场区域服务能力的基础和前提。</w:t>
      </w:r>
    </w:p>
    <w:p>
      <w:pPr>
        <w:widowControl/>
        <w:spacing w:before="100" w:after="100" w:line="360" w:lineRule="atLeast"/>
        <w:ind w:left="30" w:firstLine="420"/>
        <w:jc w:val="left"/>
        <w:rPr>
          <w:rFonts w:ascii="宋体" w:hAnsi="宋体" w:cs="宋体"/>
          <w:b/>
          <w:kern w:val="0"/>
          <w:sz w:val="24"/>
        </w:rPr>
      </w:pPr>
      <w:r>
        <w:rPr>
          <w:rFonts w:hint="eastAsia" w:ascii="宋体" w:hAnsi="宋体" w:cs="宋体"/>
          <w:b/>
          <w:kern w:val="0"/>
          <w:sz w:val="24"/>
        </w:rPr>
        <w:t>（二）工作内容</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（1）</w:t>
      </w:r>
      <w:bookmarkStart w:id="9" w:name="_Toc369590224"/>
      <w:r>
        <w:rPr>
          <w:rFonts w:hint="eastAsia" w:ascii="宋体" w:hAnsi="宋体" w:cs="宋体"/>
          <w:kern w:val="0"/>
          <w:sz w:val="24"/>
        </w:rPr>
        <w:t>规划目标</w:t>
      </w:r>
      <w:bookmarkEnd w:id="9"/>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以满足芜宣机场及周边区域建设发展需要为出发点，以适应航空港周边区域中、远期及远景规划发展为目标，结合芜宣机场总体规划，借鉴国内外航空枢纽综合交通系统的先进理念与建设经验，构建以芜宣航空港为核心，服务于芜湖宣城及周边区域，与国省级干线铁路网、公路网及城市轨道、道路网有机衔接的现代化综合交通体系。</w:t>
      </w:r>
    </w:p>
    <w:p>
      <w:pPr>
        <w:widowControl/>
        <w:spacing w:before="100" w:after="100" w:line="360" w:lineRule="atLeast"/>
        <w:ind w:left="30" w:firstLine="420"/>
        <w:jc w:val="left"/>
        <w:rPr>
          <w:rFonts w:hint="eastAsia" w:ascii="宋体" w:hAnsi="宋体" w:cs="宋体"/>
          <w:kern w:val="0"/>
          <w:sz w:val="24"/>
        </w:rPr>
      </w:pPr>
      <w:bookmarkStart w:id="10" w:name="_Toc125312513"/>
      <w:bookmarkStart w:id="11" w:name="_Toc369590225"/>
      <w:bookmarkStart w:id="12" w:name="_Toc125305277"/>
      <w:r>
        <w:rPr>
          <w:rFonts w:hint="eastAsia" w:ascii="宋体" w:hAnsi="宋体" w:cs="宋体"/>
          <w:kern w:val="0"/>
          <w:sz w:val="24"/>
        </w:rPr>
        <w:t>（2）规划范围</w:t>
      </w:r>
      <w:bookmarkEnd w:id="10"/>
      <w:bookmarkEnd w:id="11"/>
      <w:bookmarkEnd w:id="12"/>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根据芜湖、宣城及周边城市的空间布局与航空港辐射圈的时空距离，本次规划建议根据以下三个圈层范围开展研究工作：</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战略研究范围：</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根据芜宣机场航空港辐射圈的时空距离，本次规划的战略研究范围确定为以芜宣机场区域为中心，以周边长三角主副中心城市合肥、南京、杭州、上海为重要支撑，进行战略层面的发展判断及总体研究。</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规划研究范围：</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与芜湖机场远期控制范围保持一致，同时涵盖芜宣机场与芜湖、宣城主城间的主要交通走廊地带。</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机场核心区域：</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芜宣机场规划用地范围，包括机场本身及综合交通枢纽配套设施用地。</w:t>
      </w:r>
    </w:p>
    <w:p>
      <w:pPr>
        <w:widowControl/>
        <w:spacing w:before="100" w:after="100" w:line="360" w:lineRule="atLeast"/>
        <w:ind w:left="30" w:firstLine="420"/>
        <w:jc w:val="left"/>
        <w:rPr>
          <w:rFonts w:hint="eastAsia" w:ascii="宋体" w:hAnsi="宋体" w:cs="宋体"/>
          <w:b/>
          <w:kern w:val="0"/>
          <w:sz w:val="24"/>
        </w:rPr>
      </w:pPr>
      <w:bookmarkStart w:id="13" w:name="_Toc369590226"/>
      <w:bookmarkStart w:id="14" w:name="_Toc125312514"/>
      <w:bookmarkStart w:id="15" w:name="_Toc125305278"/>
      <w:r>
        <w:rPr>
          <w:rFonts w:hint="eastAsia" w:ascii="宋体" w:hAnsi="宋体" w:cs="宋体"/>
          <w:b/>
          <w:kern w:val="0"/>
          <w:sz w:val="24"/>
        </w:rPr>
        <w:t>（三）规划年限</w:t>
      </w:r>
      <w:bookmarkEnd w:id="13"/>
      <w:bookmarkEnd w:id="14"/>
      <w:bookmarkEnd w:id="15"/>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根据芜宣机场相关规划，本次规划年限为：现状20</w:t>
      </w:r>
      <w:r>
        <w:rPr>
          <w:rFonts w:ascii="宋体" w:hAnsi="宋体" w:cs="宋体"/>
          <w:kern w:val="0"/>
          <w:sz w:val="24"/>
        </w:rPr>
        <w:t>2</w:t>
      </w:r>
      <w:r>
        <w:rPr>
          <w:rFonts w:hint="eastAsia" w:ascii="宋体" w:hAnsi="宋体" w:cs="宋体"/>
          <w:kern w:val="0"/>
          <w:sz w:val="24"/>
        </w:rPr>
        <w:t>1年、近期202</w:t>
      </w:r>
      <w:r>
        <w:rPr>
          <w:rFonts w:ascii="宋体" w:hAnsi="宋体" w:cs="宋体"/>
          <w:kern w:val="0"/>
          <w:sz w:val="24"/>
        </w:rPr>
        <w:t>5</w:t>
      </w:r>
      <w:r>
        <w:rPr>
          <w:rFonts w:hint="eastAsia" w:ascii="宋体" w:hAnsi="宋体" w:cs="宋体"/>
          <w:kern w:val="0"/>
          <w:sz w:val="24"/>
        </w:rPr>
        <w:t>年、中期2</w:t>
      </w:r>
      <w:r>
        <w:rPr>
          <w:rFonts w:ascii="宋体" w:hAnsi="宋体" w:cs="宋体"/>
          <w:kern w:val="0"/>
          <w:sz w:val="24"/>
        </w:rPr>
        <w:t>035</w:t>
      </w:r>
      <w:r>
        <w:rPr>
          <w:rFonts w:hint="eastAsia" w:ascii="宋体" w:hAnsi="宋体" w:cs="宋体"/>
          <w:kern w:val="0"/>
          <w:sz w:val="24"/>
        </w:rPr>
        <w:t>年、远期204</w:t>
      </w:r>
      <w:r>
        <w:rPr>
          <w:rFonts w:ascii="宋体" w:hAnsi="宋体" w:cs="宋体"/>
          <w:kern w:val="0"/>
          <w:sz w:val="24"/>
        </w:rPr>
        <w:t>5</w:t>
      </w:r>
      <w:r>
        <w:rPr>
          <w:rFonts w:hint="eastAsia" w:ascii="宋体" w:hAnsi="宋体" w:cs="宋体"/>
          <w:kern w:val="0"/>
          <w:sz w:val="24"/>
        </w:rPr>
        <w:t>年。同时为机场远景发展的建设需求预留条件。</w:t>
      </w:r>
    </w:p>
    <w:p>
      <w:pPr>
        <w:widowControl/>
        <w:spacing w:before="100" w:after="100" w:line="360" w:lineRule="atLeast"/>
        <w:ind w:left="30" w:firstLine="420"/>
        <w:jc w:val="left"/>
        <w:rPr>
          <w:rFonts w:hint="eastAsia" w:ascii="宋体" w:hAnsi="宋体" w:cs="宋体"/>
          <w:b/>
          <w:kern w:val="0"/>
          <w:sz w:val="24"/>
        </w:rPr>
      </w:pPr>
      <w:r>
        <w:rPr>
          <w:rFonts w:hint="eastAsia" w:ascii="宋体" w:hAnsi="宋体" w:cs="宋体"/>
          <w:b/>
          <w:kern w:val="0"/>
          <w:sz w:val="24"/>
        </w:rPr>
        <w:t>（四）</w:t>
      </w:r>
      <w:bookmarkStart w:id="16" w:name="_Toc127929884"/>
      <w:bookmarkStart w:id="17" w:name="_Toc125305280"/>
      <w:bookmarkStart w:id="18" w:name="_Toc369590228"/>
      <w:bookmarkStart w:id="19" w:name="_Toc127804468"/>
      <w:bookmarkStart w:id="20" w:name="_Toc127352283"/>
      <w:r>
        <w:rPr>
          <w:rFonts w:hint="eastAsia" w:ascii="宋体" w:hAnsi="宋体" w:cs="宋体"/>
          <w:b/>
          <w:kern w:val="0"/>
          <w:sz w:val="24"/>
        </w:rPr>
        <w:t>规划原则</w:t>
      </w:r>
      <w:bookmarkEnd w:id="16"/>
      <w:bookmarkEnd w:id="17"/>
      <w:bookmarkEnd w:id="18"/>
      <w:bookmarkEnd w:id="19"/>
      <w:bookmarkEnd w:id="20"/>
    </w:p>
    <w:p>
      <w:pPr>
        <w:widowControl/>
        <w:tabs>
          <w:tab w:val="left" w:pos="1106"/>
        </w:tabs>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1、芜宣机场综合交通枢纽规划应与芜湖及宣城国土空间总体规划、国家和省级干线道路网及铁路网等规划相协调。</w:t>
      </w:r>
    </w:p>
    <w:p>
      <w:pPr>
        <w:widowControl/>
        <w:tabs>
          <w:tab w:val="left" w:pos="1106"/>
        </w:tabs>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2、借鉴国内外最新规划理念、先进技术及成功经验，坚持以人为本、立足长远、兼顾近期、统筹规划、分期建设的原则，体现规划的科学性、权威性、综合性、可实施性和适度超前性，建立安全、舒适、高效、便捷的综合交通体系。</w:t>
      </w:r>
    </w:p>
    <w:p>
      <w:pPr>
        <w:widowControl/>
        <w:tabs>
          <w:tab w:val="left" w:pos="1106"/>
        </w:tabs>
        <w:spacing w:before="100" w:after="100" w:line="360" w:lineRule="atLeast"/>
        <w:ind w:left="30" w:firstLine="420"/>
        <w:jc w:val="left"/>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、强调各类运输方式、管理方式的综合协调，处理好航空港及周边区域对内、对外交通的衔接，使交通体系一体化、交通运行一体化、交通管理一体化。</w:t>
      </w:r>
    </w:p>
    <w:p>
      <w:pPr>
        <w:widowControl/>
        <w:tabs>
          <w:tab w:val="left" w:pos="1106"/>
        </w:tabs>
        <w:spacing w:before="100" w:after="100" w:line="360" w:lineRule="atLeast"/>
        <w:ind w:left="30" w:firstLine="420"/>
        <w:jc w:val="left"/>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、保证航空港内部陆侧交通与机场内部总体规划布局的协调，创建与机场总体建筑布局相和谐、高品质的综合交通环境。</w:t>
      </w:r>
    </w:p>
    <w:p>
      <w:pPr>
        <w:widowControl/>
        <w:tabs>
          <w:tab w:val="left" w:pos="1106"/>
        </w:tabs>
        <w:spacing w:before="100" w:after="100" w:line="360" w:lineRule="atLeast"/>
        <w:ind w:left="30" w:firstLine="42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、综合交通系统实施计划安排应与航空港的发展规模相匹配，近期规划实施方案应具有可实施性，中、远期规划应预留实施条件。</w:t>
      </w:r>
    </w:p>
    <w:p>
      <w:pPr>
        <w:widowControl/>
        <w:spacing w:before="100" w:after="100" w:line="360" w:lineRule="atLeast"/>
        <w:ind w:left="30" w:firstLine="420"/>
        <w:jc w:val="left"/>
        <w:rPr>
          <w:rFonts w:hint="eastAsia" w:ascii="宋体" w:hAnsi="宋体" w:cs="宋体"/>
          <w:b/>
          <w:kern w:val="0"/>
          <w:sz w:val="24"/>
        </w:rPr>
      </w:pPr>
      <w:bookmarkStart w:id="21" w:name="_Toc369590230"/>
      <w:r>
        <w:rPr>
          <w:rFonts w:hint="eastAsia" w:ascii="宋体" w:hAnsi="宋体" w:cs="宋体"/>
          <w:b/>
          <w:kern w:val="0"/>
          <w:sz w:val="24"/>
        </w:rPr>
        <w:t>（四）规划内容</w:t>
      </w:r>
      <w:bookmarkEnd w:id="21"/>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本次芜宣机场综合交通枢纽规划的主要包括交通发展战略研究、综合交通系统设施规划和规划实施建议三部分内容。</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交通发展战略研究包括现状交通调查、交通需求预测和交通发展战略研究；综合交通系统设施规划包括铁路（含城际轨道）衔接规划、城市轨道交通衔接规划、高快速路衔接规划、区域道路网系统规划、公共交通系统规划、航空港陆侧综合交通衔接规划；规划实施建议包括铁路（含城际轨道）、城市轨道、外部道路网、公共交通和场站设施的分阶段实施建议等相关内容。</w:t>
      </w:r>
    </w:p>
    <w:p>
      <w:pPr>
        <w:widowControl/>
        <w:spacing w:before="100" w:after="100" w:line="360" w:lineRule="atLeast"/>
        <w:ind w:left="30" w:firstLine="420"/>
        <w:jc w:val="left"/>
        <w:rPr>
          <w:rFonts w:hint="eastAsia" w:ascii="宋体" w:hAnsi="宋体" w:cs="宋体"/>
          <w:kern w:val="0"/>
          <w:sz w:val="24"/>
        </w:rPr>
      </w:pPr>
      <w:bookmarkStart w:id="22" w:name="_Toc369590231"/>
      <w:r>
        <w:rPr>
          <w:rFonts w:hint="eastAsia" w:ascii="宋体" w:hAnsi="宋体" w:cs="宋体"/>
          <w:kern w:val="0"/>
          <w:sz w:val="24"/>
        </w:rPr>
        <w:t>1、交通发展战略研究</w:t>
      </w:r>
      <w:bookmarkEnd w:id="22"/>
    </w:p>
    <w:p>
      <w:pPr>
        <w:widowControl/>
        <w:spacing w:before="100" w:after="100" w:line="360" w:lineRule="atLeast"/>
        <w:ind w:left="30" w:firstLine="480" w:firstLineChars="200"/>
        <w:jc w:val="left"/>
        <w:rPr>
          <w:rFonts w:ascii="宋体" w:hAnsi="宋体" w:cs="宋体"/>
          <w:kern w:val="0"/>
          <w:sz w:val="24"/>
        </w:rPr>
      </w:pPr>
      <w:r>
        <w:rPr>
          <w:rFonts w:hint="eastAsia" w:ascii="宋体" w:hAnsi="宋体" w:cs="宋体"/>
          <w:kern w:val="0"/>
          <w:sz w:val="24"/>
        </w:rPr>
        <w:t>（1）现状分析</w:t>
      </w:r>
    </w:p>
    <w:p>
      <w:pPr>
        <w:widowControl/>
        <w:spacing w:before="100" w:after="100" w:line="360" w:lineRule="atLeast"/>
        <w:ind w:left="30" w:firstLine="480" w:firstLineChars="200"/>
        <w:jc w:val="left"/>
        <w:rPr>
          <w:rFonts w:ascii="宋体" w:hAnsi="宋体" w:cs="宋体"/>
          <w:kern w:val="0"/>
          <w:sz w:val="24"/>
        </w:rPr>
      </w:pPr>
      <w:r>
        <w:rPr>
          <w:rFonts w:hint="eastAsia" w:ascii="宋体" w:hAnsi="宋体" w:cs="宋体"/>
          <w:kern w:val="0"/>
          <w:sz w:val="24"/>
        </w:rPr>
        <w:t>从现状交通设施布局、交通出行分布等方面分析现状综合交通中长距离出行情况，提出存在的主要问题；同时利用大数据等技术，对目前芜湖市、宣城市及周边地区的航空客源进行量化分析。</w:t>
      </w:r>
    </w:p>
    <w:p>
      <w:pPr>
        <w:widowControl/>
        <w:spacing w:before="100" w:after="100" w:line="360" w:lineRule="atLeast"/>
        <w:ind w:left="30" w:firstLine="420"/>
        <w:jc w:val="left"/>
        <w:rPr>
          <w:rFonts w:hint="eastAsia" w:ascii="宋体" w:hAnsi="宋体" w:cs="宋体"/>
          <w:kern w:val="0"/>
          <w:sz w:val="24"/>
        </w:rPr>
      </w:pPr>
      <w:bookmarkStart w:id="23" w:name="_Toc369590233"/>
      <w:r>
        <w:rPr>
          <w:rFonts w:hint="eastAsia" w:ascii="宋体" w:hAnsi="宋体" w:cs="宋体"/>
          <w:kern w:val="0"/>
          <w:sz w:val="24"/>
        </w:rPr>
        <w:t>（2）交通需求预测</w:t>
      </w:r>
      <w:bookmarkEnd w:id="23"/>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根据现状交通调查分析和航空港客货运吞吐量的预测结果，采取定性与定量分析相结合的研究方法，分析区域综合交通的发展趋势特征，建立综合交通定量分析模型，进行交通量发展预测，为综合交通系统规划提供定量评价基础。</w:t>
      </w:r>
    </w:p>
    <w:p>
      <w:pPr>
        <w:widowControl/>
        <w:spacing w:before="100" w:after="100" w:line="360" w:lineRule="atLeast"/>
        <w:ind w:left="30" w:firstLine="420"/>
        <w:jc w:val="left"/>
        <w:rPr>
          <w:rFonts w:hint="eastAsia" w:ascii="宋体" w:hAnsi="宋体" w:cs="宋体"/>
          <w:kern w:val="0"/>
          <w:sz w:val="24"/>
        </w:rPr>
      </w:pPr>
      <w:bookmarkStart w:id="24" w:name="_Toc369590234"/>
      <w:r>
        <w:rPr>
          <w:rFonts w:hint="eastAsia" w:ascii="宋体" w:hAnsi="宋体" w:cs="宋体"/>
          <w:kern w:val="0"/>
          <w:sz w:val="24"/>
        </w:rPr>
        <w:t>（3）枢纽交通发展战略</w:t>
      </w:r>
      <w:bookmarkEnd w:id="24"/>
    </w:p>
    <w:p>
      <w:pPr>
        <w:widowControl/>
        <w:spacing w:before="100" w:after="100" w:line="360" w:lineRule="atLeast"/>
        <w:ind w:left="30" w:firstLine="480" w:firstLineChars="200"/>
        <w:jc w:val="left"/>
        <w:rPr>
          <w:rFonts w:hint="eastAsia" w:ascii="宋体" w:hAnsi="宋体" w:cs="宋体"/>
          <w:kern w:val="0"/>
          <w:sz w:val="24"/>
        </w:rPr>
      </w:pPr>
      <w:r>
        <w:rPr>
          <w:rFonts w:hint="eastAsia" w:ascii="宋体" w:hAnsi="宋体" w:cs="宋体"/>
          <w:kern w:val="0"/>
          <w:sz w:val="24"/>
        </w:rPr>
        <w:t>根据芜宣机场的功能定位，面向长江经济带、长三角城市群等战略层面，提出枢纽区域综合交通系统的发展方向和发展目标，制定综合交通系统的发展策略和战略措施，进行综合交通体系布局规划。</w:t>
      </w:r>
    </w:p>
    <w:p>
      <w:pPr>
        <w:widowControl/>
        <w:spacing w:before="100" w:after="100" w:line="360" w:lineRule="atLeast"/>
        <w:ind w:left="30" w:firstLine="420"/>
        <w:jc w:val="left"/>
        <w:rPr>
          <w:rFonts w:hint="eastAsia" w:ascii="宋体" w:hAnsi="宋体" w:cs="宋体"/>
          <w:kern w:val="0"/>
          <w:sz w:val="24"/>
        </w:rPr>
      </w:pPr>
      <w:bookmarkStart w:id="25" w:name="_Toc369590235"/>
      <w:r>
        <w:rPr>
          <w:rFonts w:hint="eastAsia" w:ascii="宋体" w:hAnsi="宋体" w:cs="宋体"/>
          <w:kern w:val="0"/>
          <w:sz w:val="24"/>
        </w:rPr>
        <w:t>2、综合交通系统设施规划</w:t>
      </w:r>
      <w:bookmarkEnd w:id="25"/>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以交通发展战略为指导，以交通量预测为基础，进行研究区域内的铁路（含城际轨道）衔接规划、轨道系统衔接规划、道路网系统规划、公共交通系统规划以及机场陆侧交通系统概念规划的研究，提出各分项交通系统的规划布局。</w:t>
      </w:r>
    </w:p>
    <w:p>
      <w:pPr>
        <w:widowControl/>
        <w:spacing w:before="100" w:after="100" w:line="360" w:lineRule="atLeast"/>
        <w:ind w:left="30" w:firstLine="420"/>
        <w:jc w:val="left"/>
        <w:rPr>
          <w:rFonts w:hint="eastAsia" w:ascii="宋体" w:hAnsi="宋体" w:cs="宋体"/>
          <w:kern w:val="0"/>
          <w:sz w:val="24"/>
        </w:rPr>
      </w:pPr>
      <w:bookmarkStart w:id="26" w:name="_Toc369590236"/>
      <w:r>
        <w:rPr>
          <w:rFonts w:hint="eastAsia" w:ascii="宋体" w:hAnsi="宋体" w:cs="宋体"/>
          <w:kern w:val="0"/>
          <w:sz w:val="24"/>
        </w:rPr>
        <w:t>（1）铁路（含城际轨道）衔接规划</w:t>
      </w:r>
      <w:bookmarkEnd w:id="26"/>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重点研究区域客运专线铁路、干线铁路、城际铁路等衔接芜宣机场综合交通枢纽的必要性和可行性，明确各条铁路线的建议路由、接入枢纽方式和总体空间布局方案，利于近期控制、远期分阶段实施的总体发展思路。</w:t>
      </w:r>
    </w:p>
    <w:p>
      <w:pPr>
        <w:widowControl/>
        <w:spacing w:before="100" w:after="100" w:line="360" w:lineRule="atLeast"/>
        <w:ind w:left="30" w:firstLine="420"/>
        <w:jc w:val="left"/>
        <w:rPr>
          <w:rFonts w:hint="eastAsia" w:ascii="宋体" w:hAnsi="宋体" w:cs="宋体"/>
          <w:kern w:val="0"/>
          <w:sz w:val="24"/>
        </w:rPr>
      </w:pPr>
      <w:bookmarkStart w:id="27" w:name="_Toc369590237"/>
      <w:r>
        <w:rPr>
          <w:rFonts w:hint="eastAsia" w:ascii="宋体" w:hAnsi="宋体" w:cs="宋体"/>
          <w:kern w:val="0"/>
          <w:sz w:val="24"/>
        </w:rPr>
        <w:t>（2）轨道系统衔接规划</w:t>
      </w:r>
      <w:bookmarkEnd w:id="27"/>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主要重点研究芜湖宣城轨道交通系统接入芜宣机场综合交通枢纽的必要性和可行性。在芜宣机场功能定位和客货交通需求预测的基础上，明确干线铁路和城市轨道交通的功能定位、发展目标。结合城市轨道交通线网布局，研究城市轨道交通规划与芜宣机场综合交通枢纽及区域轨道交通规划的衔接关系，确定研究区域内轨道交通的主要走廊，进行航空港周边区域轨道交通线网与站点布局规划。</w:t>
      </w:r>
    </w:p>
    <w:p>
      <w:pPr>
        <w:widowControl/>
        <w:spacing w:before="100" w:after="100" w:line="360" w:lineRule="atLeast"/>
        <w:ind w:left="30" w:firstLine="420"/>
        <w:jc w:val="left"/>
        <w:rPr>
          <w:rFonts w:hint="eastAsia" w:ascii="宋体" w:hAnsi="宋体" w:cs="宋体"/>
          <w:kern w:val="0"/>
          <w:sz w:val="24"/>
        </w:rPr>
      </w:pPr>
      <w:bookmarkStart w:id="28" w:name="_Toc369590238"/>
      <w:r>
        <w:rPr>
          <w:rFonts w:hint="eastAsia" w:ascii="宋体" w:hAnsi="宋体" w:cs="宋体"/>
          <w:kern w:val="0"/>
          <w:sz w:val="24"/>
        </w:rPr>
        <w:t>（3）区域道路网系统规划</w:t>
      </w:r>
      <w:bookmarkEnd w:id="28"/>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根据交通发展战略研究中区域道路网系统的规划目标、定位和发展规模，结合国家、省、市等干线路网规划，考虑现状路网、地形条件等控制因素，以满足道路网规划目标为出发点，按照三个层次进行区域道路网布局规划，并分别客运、货运两大系统交通组织规划。第一层次规划衔接芜湖主城和规划区域周边城市的干线路网布局，解决过境交通和进出境交通；第二层次规划研究区域范围内的干线道路网体系，解决境内各功能组团之间的交通联系；第三层次规划与机场内部（陆侧）道路网系统衔接的道路网，解决与机场内部交通系统的联系。重点解决各种等级道路网络的发展规模、明确道路的功能等级和各等级道路之间的衔接关系，同时做好区域综合交通系统与区域内外交通系统的衔接。</w:t>
      </w:r>
    </w:p>
    <w:p>
      <w:pPr>
        <w:widowControl/>
        <w:spacing w:before="100" w:after="100" w:line="360" w:lineRule="atLeast"/>
        <w:ind w:left="30" w:firstLine="420"/>
        <w:jc w:val="left"/>
        <w:rPr>
          <w:rFonts w:hint="eastAsia" w:ascii="宋体" w:hAnsi="宋体" w:cs="宋体"/>
          <w:kern w:val="0"/>
          <w:sz w:val="24"/>
        </w:rPr>
      </w:pPr>
      <w:bookmarkStart w:id="29" w:name="_Toc369590239"/>
      <w:r>
        <w:rPr>
          <w:rFonts w:hint="eastAsia" w:ascii="宋体" w:hAnsi="宋体" w:cs="宋体"/>
          <w:kern w:val="0"/>
          <w:sz w:val="24"/>
        </w:rPr>
        <w:t>（4）公共交通发展规划</w:t>
      </w:r>
      <w:bookmarkEnd w:id="29"/>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在对未来芜宣机场交通特性研究的基础上，参考国内外大型机场周边公交系统的发展经验，确定规划区域未来的公共交通发展战略。结合未来芜湖宣城城市公交规划体系，确定航空港周边区域的主要公交走廊，在规划路网的基础上进行公交线网、换乘枢纽和车辆发展规模等公共交通设施规划，并针对航空港的交通特点提出相应的公共交通发展策略与建议。</w:t>
      </w:r>
    </w:p>
    <w:p>
      <w:pPr>
        <w:widowControl/>
        <w:spacing w:before="100" w:after="100" w:line="360" w:lineRule="atLeast"/>
        <w:ind w:left="30" w:firstLine="420"/>
        <w:jc w:val="left"/>
        <w:rPr>
          <w:rFonts w:hint="eastAsia" w:ascii="宋体" w:hAnsi="宋体" w:cs="宋体"/>
          <w:kern w:val="0"/>
          <w:sz w:val="24"/>
        </w:rPr>
      </w:pPr>
      <w:bookmarkStart w:id="30" w:name="_Toc369590240"/>
      <w:r>
        <w:rPr>
          <w:rFonts w:hint="eastAsia" w:ascii="宋体" w:hAnsi="宋体" w:cs="宋体"/>
          <w:kern w:val="0"/>
          <w:sz w:val="24"/>
        </w:rPr>
        <w:t>（5）航站区陆侧交通衔接概念规划</w:t>
      </w:r>
      <w:bookmarkEnd w:id="30"/>
    </w:p>
    <w:p>
      <w:pPr>
        <w:widowControl/>
        <w:spacing w:before="100" w:after="100" w:line="360" w:lineRule="atLeast"/>
        <w:ind w:left="30" w:firstLine="480" w:firstLineChars="200"/>
        <w:jc w:val="left"/>
        <w:rPr>
          <w:rFonts w:hint="eastAsia" w:ascii="宋体" w:hAnsi="宋体" w:cs="宋体"/>
          <w:kern w:val="0"/>
          <w:sz w:val="24"/>
        </w:rPr>
      </w:pPr>
      <w:bookmarkStart w:id="31" w:name="_Toc125305290"/>
      <w:r>
        <w:rPr>
          <w:rFonts w:hint="eastAsia" w:ascii="宋体" w:hAnsi="宋体" w:cs="宋体"/>
          <w:kern w:val="0"/>
          <w:sz w:val="24"/>
        </w:rPr>
        <w:t>航站区陆侧交通系统上承航站楼及航站区内其他功能区，下启机场外部整个交通系统，是航空港综合交通体系的关键部位。本次规划工作范围为整个航站区陆侧范围内的交通体系，不包括空侧部分，重点研究与机场内外多种交通体系的衔接。</w:t>
      </w:r>
    </w:p>
    <w:bookmarkEnd w:id="31"/>
    <w:p>
      <w:pPr>
        <w:widowControl/>
        <w:spacing w:before="100" w:after="100" w:line="360" w:lineRule="atLeast"/>
        <w:ind w:left="30" w:firstLine="420"/>
        <w:jc w:val="left"/>
        <w:rPr>
          <w:rFonts w:hint="eastAsia" w:ascii="宋体" w:hAnsi="宋体" w:cs="宋体"/>
          <w:kern w:val="0"/>
          <w:sz w:val="24"/>
        </w:rPr>
      </w:pPr>
      <w:bookmarkStart w:id="32" w:name="_Toc369590242"/>
      <w:r>
        <w:rPr>
          <w:rFonts w:hint="eastAsia" w:ascii="宋体" w:hAnsi="宋体" w:cs="宋体"/>
          <w:kern w:val="0"/>
          <w:sz w:val="24"/>
        </w:rPr>
        <w:t>3、近期实施</w:t>
      </w:r>
      <w:bookmarkEnd w:id="32"/>
      <w:r>
        <w:rPr>
          <w:rFonts w:hint="eastAsia" w:ascii="宋体" w:hAnsi="宋体" w:cs="宋体"/>
          <w:kern w:val="0"/>
          <w:sz w:val="24"/>
        </w:rPr>
        <w:t>规划</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根据芜宣机场规划分期建设目标和建设规模，以满足其使用要求为出发点，结合规划年限，研究综合交通系统中不同运输方式的建设时序安排。对近期实施工程提出规划实施方案；对中远期实施项目提出规划实施方案初步设想，预留其实施条件，体现规划方案的可实施性。同时综合考虑项目实施、运营、管理、收费等系统的管理模式，构架多模式、一体化的现代综合运营管理体系。</w:t>
      </w:r>
    </w:p>
    <w:p>
      <w:pPr>
        <w:widowControl/>
        <w:spacing w:before="100" w:after="100" w:line="360" w:lineRule="atLeast"/>
        <w:ind w:left="30" w:firstLine="420"/>
        <w:jc w:val="left"/>
        <w:rPr>
          <w:rFonts w:hint="eastAsia" w:ascii="宋体" w:hAnsi="宋体" w:cs="宋体"/>
          <w:b/>
          <w:kern w:val="0"/>
          <w:sz w:val="24"/>
        </w:rPr>
      </w:pPr>
      <w:bookmarkStart w:id="33" w:name="_Toc369590243"/>
      <w:r>
        <w:rPr>
          <w:rFonts w:hint="eastAsia" w:ascii="宋体" w:hAnsi="宋体" w:cs="宋体"/>
          <w:b/>
          <w:kern w:val="0"/>
          <w:sz w:val="24"/>
        </w:rPr>
        <w:t>（五）规划成果</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本项目</w:t>
      </w:r>
      <w:bookmarkEnd w:id="33"/>
      <w:r>
        <w:rPr>
          <w:rFonts w:hint="eastAsia" w:ascii="宋体" w:hAnsi="宋体" w:cs="宋体"/>
          <w:kern w:val="0"/>
          <w:sz w:val="24"/>
        </w:rPr>
        <w:t>研究成果包括报告文件、电子文档和汇报材料三部分内容。</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研究报告文件装帧规格为A3大小，其中附图须为A3 或A4幅面彩图。</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报告文字及各类图纸应提供未经压缩的绘制版文件。</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专家评审会以及其他汇报材料以投影方式提交电子文件。</w:t>
      </w:r>
    </w:p>
    <w:p>
      <w:pPr>
        <w:widowControl/>
        <w:spacing w:before="100" w:after="100" w:line="360" w:lineRule="atLeast"/>
        <w:ind w:left="30" w:firstLine="420"/>
        <w:jc w:val="left"/>
        <w:rPr>
          <w:rFonts w:hint="eastAsia" w:ascii="宋体" w:hAnsi="宋体" w:cs="宋体"/>
          <w:kern w:val="0"/>
          <w:sz w:val="24"/>
        </w:rPr>
      </w:pPr>
      <w:r>
        <w:rPr>
          <w:rFonts w:hint="eastAsia" w:ascii="宋体" w:hAnsi="宋体" w:cs="宋体"/>
          <w:kern w:val="0"/>
          <w:sz w:val="24"/>
        </w:rPr>
        <w:t>各阶段中间研究成果可参照上面要求提供。</w:t>
      </w:r>
    </w:p>
    <w:p>
      <w:pPr>
        <w:widowControl/>
        <w:spacing w:before="100" w:after="100" w:line="360" w:lineRule="atLeast"/>
        <w:jc w:val="left"/>
        <w:rPr>
          <w:rFonts w:ascii="宋体" w:hAnsi="宋体" w:cs="宋体"/>
          <w:b/>
          <w:bCs/>
          <w:kern w:val="0"/>
          <w:sz w:val="24"/>
        </w:rPr>
      </w:pPr>
      <w:r>
        <w:rPr>
          <w:rFonts w:hint="eastAsia" w:ascii="宋体" w:hAnsi="宋体" w:cs="宋体"/>
          <w:b/>
          <w:bCs/>
          <w:kern w:val="0"/>
          <w:sz w:val="24"/>
        </w:rPr>
        <w:t>二、合同主要条款</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1、付款方式：合同生效后15个工作日内支付合同总额的</w:t>
      </w:r>
      <w:r>
        <w:rPr>
          <w:rFonts w:ascii="宋体" w:hAnsi="宋体" w:cs="宋体"/>
          <w:kern w:val="0"/>
          <w:sz w:val="24"/>
        </w:rPr>
        <w:t>2</w:t>
      </w:r>
      <w:r>
        <w:rPr>
          <w:rFonts w:hint="eastAsia" w:ascii="宋体" w:hAnsi="宋体" w:cs="宋体"/>
          <w:kern w:val="0"/>
          <w:sz w:val="24"/>
        </w:rPr>
        <w:t>0％，作为项目开展工作的预付款；中标单位提交规划评审成果（评审成果应达到专家评审要求），经专家评审通过后，付至合同金额的</w:t>
      </w:r>
      <w:r>
        <w:rPr>
          <w:rFonts w:ascii="宋体" w:hAnsi="宋体" w:cs="宋体"/>
          <w:kern w:val="0"/>
          <w:sz w:val="24"/>
        </w:rPr>
        <w:t>7</w:t>
      </w:r>
      <w:r>
        <w:rPr>
          <w:rFonts w:hint="eastAsia" w:ascii="宋体" w:hAnsi="宋体" w:cs="宋体"/>
          <w:kern w:val="0"/>
          <w:sz w:val="24"/>
        </w:rPr>
        <w:t>0%；规划成果经修改完善并提交最终成果后，付至合同金额的</w:t>
      </w:r>
      <w:r>
        <w:rPr>
          <w:rFonts w:ascii="宋体" w:hAnsi="宋体" w:cs="宋体"/>
          <w:kern w:val="0"/>
          <w:sz w:val="24"/>
        </w:rPr>
        <w:t>10</w:t>
      </w:r>
      <w:r>
        <w:rPr>
          <w:rFonts w:hint="eastAsia" w:ascii="宋体" w:hAnsi="宋体" w:cs="宋体"/>
          <w:kern w:val="0"/>
          <w:sz w:val="24"/>
        </w:rPr>
        <w:t>0%。</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2、合同争议处理：采购合同在履行过程中发生的争议，由双方当事人协商解决，协商解决不成的，提交仲裁委员会仲裁。</w:t>
      </w:r>
    </w:p>
    <w:p>
      <w:pPr>
        <w:widowControl/>
        <w:spacing w:before="100" w:after="100" w:line="360" w:lineRule="atLeast"/>
        <w:jc w:val="left"/>
        <w:rPr>
          <w:rFonts w:ascii="宋体" w:hAnsi="宋体" w:cs="宋体"/>
          <w:b/>
          <w:bCs/>
          <w:kern w:val="0"/>
          <w:sz w:val="24"/>
        </w:rPr>
      </w:pPr>
      <w:r>
        <w:rPr>
          <w:rFonts w:hint="eastAsia" w:ascii="宋体" w:hAnsi="宋体" w:cs="宋体"/>
          <w:b/>
          <w:bCs/>
          <w:kern w:val="0"/>
          <w:sz w:val="24"/>
        </w:rPr>
        <w:t>三、提供服务时间要求</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1、202</w:t>
      </w:r>
      <w:r>
        <w:rPr>
          <w:rFonts w:ascii="宋体" w:hAnsi="宋体" w:cs="宋体"/>
          <w:kern w:val="0"/>
          <w:sz w:val="24"/>
        </w:rPr>
        <w:t>1</w:t>
      </w:r>
      <w:r>
        <w:rPr>
          <w:rFonts w:hint="eastAsia" w:ascii="宋体" w:hAnsi="宋体" w:cs="宋体"/>
          <w:kern w:val="0"/>
          <w:sz w:val="24"/>
        </w:rPr>
        <w:t>年</w:t>
      </w:r>
      <w:r>
        <w:rPr>
          <w:rFonts w:ascii="宋体" w:hAnsi="宋体" w:cs="宋体"/>
          <w:kern w:val="0"/>
          <w:sz w:val="24"/>
        </w:rPr>
        <w:t>10</w:t>
      </w:r>
      <w:r>
        <w:rPr>
          <w:rFonts w:hint="eastAsia" w:ascii="宋体" w:hAnsi="宋体" w:cs="宋体"/>
          <w:kern w:val="0"/>
          <w:sz w:val="24"/>
        </w:rPr>
        <w:t>月30日前提交全套规划成果并通过专家评审，202</w:t>
      </w:r>
      <w:r>
        <w:rPr>
          <w:rFonts w:ascii="宋体" w:hAnsi="宋体" w:cs="宋体"/>
          <w:kern w:val="0"/>
          <w:sz w:val="24"/>
        </w:rPr>
        <w:t>1</w:t>
      </w:r>
      <w:r>
        <w:rPr>
          <w:rFonts w:hint="eastAsia" w:ascii="宋体" w:hAnsi="宋体" w:cs="宋体"/>
          <w:kern w:val="0"/>
          <w:sz w:val="24"/>
        </w:rPr>
        <w:t>年12月31日前修改完善并提交最终成果。</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2、在全套正式成果提交后，中标人需提供一年的免费后期服务，包括对规划方案的沟通与解读、对方案后期深化实施过程中的问题进行解答，提供免费更新等技术服务和支持。</w:t>
      </w:r>
    </w:p>
    <w:p>
      <w:pPr>
        <w:widowControl/>
        <w:spacing w:before="100" w:after="100" w:line="360" w:lineRule="atLeast"/>
        <w:jc w:val="left"/>
        <w:rPr>
          <w:rFonts w:ascii="宋体" w:hAnsi="宋体" w:cs="宋体"/>
          <w:b/>
          <w:bCs/>
          <w:kern w:val="0"/>
          <w:sz w:val="24"/>
        </w:rPr>
      </w:pPr>
      <w:r>
        <w:rPr>
          <w:rFonts w:hint="eastAsia" w:ascii="宋体" w:hAnsi="宋体" w:cs="宋体"/>
          <w:b/>
          <w:bCs/>
          <w:kern w:val="0"/>
          <w:sz w:val="24"/>
        </w:rPr>
        <w:t>四、报价要求</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1、本合同采用总价包干的方式。包括企业成本、服务人员工资及福利、实施工作所需的措施费、人员人身意外伤害等保险费、税金、利润等完成招标范围内所有任务且确保成果文件通过相关部门的审批及审查所产生的一切费用（涵盖招标文件合同要求的所有内容）。该投标总价不随政策调整而变化，并为结算的依据，中标的投标总价除双方同意外结算时不因任何因素的变化而调整。</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2、为完成本项目的工作，中标单位需派遣或安排具有完成本项设计服务的资质和能力的人员组成项目团队，并取得必要的后援技术支持。</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3、在必要的情况下，中标单位需从其关联机构中选派指定专业人员或聘请专家顾问组成专业队伍支持本次工作，由此产生的费用已包含在报价中。中标单位项目人员的调换，需事先书面通知招标人并征得招标人的同意且确保能力不低于原有人员，不影响项目工作正常开展。</w:t>
      </w:r>
    </w:p>
    <w:p>
      <w:pPr>
        <w:widowControl/>
        <w:spacing w:before="100" w:after="100" w:line="360" w:lineRule="atLeast"/>
        <w:ind w:left="30" w:firstLine="420"/>
        <w:jc w:val="left"/>
        <w:rPr>
          <w:rFonts w:ascii="宋体" w:hAnsi="宋体" w:cs="宋体"/>
          <w:kern w:val="0"/>
          <w:sz w:val="24"/>
        </w:rPr>
      </w:pPr>
      <w:r>
        <w:rPr>
          <w:rFonts w:hint="eastAsia" w:ascii="宋体" w:hAnsi="宋体" w:cs="宋体"/>
          <w:kern w:val="0"/>
          <w:sz w:val="24"/>
        </w:rPr>
        <w:t>4、中标单位的项目负责人应及时与招标人的工作团队或指定代表通过工作总结、工作计划、电话、会议等形式审查或讨论项目的进度及其它相关问题。</w:t>
      </w:r>
    </w:p>
    <w:p>
      <w:pPr>
        <w:pStyle w:val="83"/>
        <w:ind w:firstLine="470" w:firstLineChars="196"/>
        <w:jc w:val="center"/>
        <w:rPr>
          <w:rFonts w:ascii="宋体" w:hAnsi="宋体"/>
          <w:color w:val="000000"/>
          <w:sz w:val="24"/>
          <w:szCs w:val="24"/>
        </w:rPr>
      </w:pPr>
      <w:r>
        <w:rPr>
          <w:rFonts w:hint="eastAsia" w:ascii="宋体" w:hAnsi="宋体" w:cs="宋体"/>
          <w:kern w:val="0"/>
          <w:sz w:val="24"/>
        </w:rPr>
        <w:t>5、中标单位的项目负责人离职需事先书面通知招标人并征得招标人的同意且确保能力不低于原有人员，不影响项目工作正常开展。</w:t>
      </w:r>
    </w:p>
    <w:p>
      <w:pPr>
        <w:pStyle w:val="83"/>
        <w:ind w:firstLine="470" w:firstLineChars="196"/>
        <w:jc w:val="center"/>
        <w:rPr>
          <w:rFonts w:hint="eastAsia" w:ascii="宋体" w:hAnsi="宋体"/>
          <w:color w:val="000000"/>
          <w:sz w:val="24"/>
          <w:szCs w:val="24"/>
        </w:rPr>
      </w:pPr>
    </w:p>
    <w:p>
      <w:pPr>
        <w:pStyle w:val="83"/>
        <w:ind w:firstLine="470" w:firstLineChars="196"/>
        <w:jc w:val="center"/>
        <w:rPr>
          <w:rFonts w:ascii="宋体" w:hAnsi="宋体"/>
          <w:color w:val="000000"/>
          <w:sz w:val="24"/>
          <w:szCs w:val="24"/>
        </w:rPr>
      </w:pPr>
      <w:r>
        <w:rPr>
          <w:rFonts w:hint="eastAsia" w:ascii="宋体" w:hAnsi="宋体"/>
          <w:color w:val="000000"/>
          <w:sz w:val="24"/>
          <w:szCs w:val="24"/>
        </w:rPr>
        <w:t>采购需求一览表</w:t>
      </w:r>
    </w:p>
    <w:p>
      <w:pPr>
        <w:pStyle w:val="83"/>
        <w:jc w:val="center"/>
        <w:rPr>
          <w:rFonts w:ascii="宋体" w:hAnsi="宋体"/>
          <w:sz w:val="28"/>
          <w:szCs w:val="28"/>
        </w:rPr>
      </w:pPr>
    </w:p>
    <w:tbl>
      <w:tblPr>
        <w:tblStyle w:val="2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78"/>
        <w:gridCol w:w="1849"/>
        <w:gridCol w:w="2621"/>
        <w:gridCol w:w="632"/>
        <w:gridCol w:w="622"/>
        <w:gridCol w:w="954"/>
        <w:gridCol w:w="954"/>
        <w:gridCol w:w="14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478" w:type="dxa"/>
            <w:tcBorders>
              <w:top w:val="outset" w:color="auto" w:sz="6" w:space="0"/>
              <w:left w:val="outset" w:color="auto" w:sz="6" w:space="0"/>
              <w:bottom w:val="outset" w:color="auto" w:sz="6" w:space="0"/>
              <w:right w:val="outset" w:color="auto" w:sz="6" w:space="0"/>
            </w:tcBorders>
            <w:vAlign w:val="center"/>
          </w:tcPr>
          <w:p>
            <w:pPr>
              <w:jc w:val="center"/>
            </w:pPr>
            <w:r>
              <w:t>序号</w:t>
            </w:r>
          </w:p>
        </w:tc>
        <w:tc>
          <w:tcPr>
            <w:tcW w:w="1849" w:type="dxa"/>
            <w:tcBorders>
              <w:top w:val="outset" w:color="auto" w:sz="6" w:space="0"/>
              <w:left w:val="outset" w:color="auto" w:sz="6" w:space="0"/>
              <w:bottom w:val="outset" w:color="auto" w:sz="6" w:space="0"/>
              <w:right w:val="outset" w:color="auto" w:sz="6" w:space="0"/>
            </w:tcBorders>
            <w:vAlign w:val="center"/>
          </w:tcPr>
          <w:p>
            <w:pPr>
              <w:jc w:val="center"/>
            </w:pPr>
            <w:r>
              <w:t>名称</w:t>
            </w:r>
          </w:p>
        </w:tc>
        <w:tc>
          <w:tcPr>
            <w:tcW w:w="2621"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服务要求</w:t>
            </w:r>
          </w:p>
        </w:tc>
        <w:tc>
          <w:tcPr>
            <w:tcW w:w="632" w:type="dxa"/>
            <w:tcBorders>
              <w:top w:val="outset" w:color="auto" w:sz="6" w:space="0"/>
              <w:left w:val="outset" w:color="auto" w:sz="6" w:space="0"/>
              <w:bottom w:val="outset" w:color="auto" w:sz="6" w:space="0"/>
              <w:right w:val="outset" w:color="auto" w:sz="6" w:space="0"/>
            </w:tcBorders>
            <w:vAlign w:val="center"/>
          </w:tcPr>
          <w:p>
            <w:pPr>
              <w:jc w:val="center"/>
            </w:pPr>
            <w:r>
              <w:t>数量</w:t>
            </w:r>
          </w:p>
        </w:tc>
        <w:tc>
          <w:tcPr>
            <w:tcW w:w="622" w:type="dxa"/>
            <w:tcBorders>
              <w:top w:val="outset" w:color="auto" w:sz="6" w:space="0"/>
              <w:left w:val="outset" w:color="auto" w:sz="6" w:space="0"/>
              <w:bottom w:val="outset" w:color="auto" w:sz="6" w:space="0"/>
              <w:right w:val="outset" w:color="auto" w:sz="6" w:space="0"/>
            </w:tcBorders>
            <w:vAlign w:val="center"/>
          </w:tcPr>
          <w:p>
            <w:pPr>
              <w:jc w:val="center"/>
            </w:pPr>
            <w:r>
              <w:t>单位</w:t>
            </w:r>
          </w:p>
        </w:tc>
        <w:tc>
          <w:tcPr>
            <w:tcW w:w="954" w:type="dxa"/>
            <w:tcBorders>
              <w:top w:val="outset" w:color="auto" w:sz="6" w:space="0"/>
              <w:left w:val="outset" w:color="auto" w:sz="6" w:space="0"/>
              <w:bottom w:val="outset" w:color="auto" w:sz="6" w:space="0"/>
              <w:right w:val="outset" w:color="auto" w:sz="6" w:space="0"/>
            </w:tcBorders>
            <w:vAlign w:val="center"/>
          </w:tcPr>
          <w:p>
            <w:pPr>
              <w:jc w:val="center"/>
            </w:pPr>
            <w:r>
              <w:t>单价</w:t>
            </w:r>
          </w:p>
        </w:tc>
        <w:tc>
          <w:tcPr>
            <w:tcW w:w="954" w:type="dxa"/>
            <w:tcBorders>
              <w:top w:val="outset" w:color="auto" w:sz="6" w:space="0"/>
              <w:left w:val="outset" w:color="auto" w:sz="6" w:space="0"/>
              <w:bottom w:val="outset" w:color="auto" w:sz="6" w:space="0"/>
              <w:right w:val="outset" w:color="auto" w:sz="6" w:space="0"/>
            </w:tcBorders>
            <w:vAlign w:val="center"/>
          </w:tcPr>
          <w:p>
            <w:pPr>
              <w:jc w:val="center"/>
            </w:pPr>
            <w:r>
              <w:t>合计价</w:t>
            </w:r>
          </w:p>
        </w:tc>
        <w:tc>
          <w:tcPr>
            <w:tcW w:w="1431" w:type="dxa"/>
            <w:tcBorders>
              <w:top w:val="outset" w:color="auto" w:sz="6" w:space="0"/>
              <w:left w:val="outset" w:color="auto" w:sz="6" w:space="0"/>
              <w:bottom w:val="outset" w:color="auto" w:sz="6" w:space="0"/>
              <w:right w:val="outset" w:color="auto" w:sz="6" w:space="0"/>
            </w:tcBorders>
            <w:vAlign w:val="center"/>
          </w:tcPr>
          <w:p>
            <w:pPr>
              <w:jc w:val="center"/>
            </w:pPr>
            <w:r>
              <w:t>备注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1" w:hRule="atLeast"/>
        </w:trPr>
        <w:tc>
          <w:tcPr>
            <w:tcW w:w="478" w:type="dxa"/>
            <w:tcBorders>
              <w:top w:val="outset" w:color="auto" w:sz="6" w:space="0"/>
              <w:left w:val="outset" w:color="auto" w:sz="6" w:space="0"/>
              <w:right w:val="outset" w:color="auto" w:sz="6" w:space="0"/>
            </w:tcBorders>
            <w:vAlign w:val="center"/>
          </w:tcPr>
          <w:p>
            <w:pPr>
              <w:rPr>
                <w:rFonts w:hint="eastAsia" w:eastAsiaTheme="minorEastAsia"/>
                <w:lang w:val="en-US" w:eastAsia="zh-CN"/>
              </w:rPr>
            </w:pPr>
            <w:r>
              <w:rPr>
                <w:rFonts w:hint="eastAsia"/>
                <w:lang w:val="en-US" w:eastAsia="zh-CN"/>
              </w:rPr>
              <w:t>1</w:t>
            </w:r>
          </w:p>
        </w:tc>
        <w:tc>
          <w:tcPr>
            <w:tcW w:w="1849" w:type="dxa"/>
            <w:tcBorders>
              <w:top w:val="outset" w:color="auto" w:sz="6" w:space="0"/>
              <w:left w:val="outset" w:color="auto" w:sz="6" w:space="0"/>
              <w:right w:val="outset" w:color="auto" w:sz="6" w:space="0"/>
            </w:tcBorders>
            <w:vAlign w:val="center"/>
          </w:tcPr>
          <w:p>
            <w:pPr>
              <w:jc w:val="center"/>
            </w:pPr>
            <w:r>
              <w:rPr>
                <w:rFonts w:hint="eastAsia" w:ascii="宋体" w:hAnsi="宋体"/>
                <w:color w:val="000000"/>
                <w:sz w:val="24"/>
                <w:szCs w:val="24"/>
              </w:rPr>
              <w:t>▲</w:t>
            </w:r>
            <w:r>
              <w:rPr>
                <w:rFonts w:hint="eastAsia"/>
              </w:rPr>
              <w:t>芜湖宣州机场综合交通枢纽规划</w:t>
            </w:r>
          </w:p>
        </w:tc>
        <w:tc>
          <w:tcPr>
            <w:tcW w:w="2621"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lang w:val="en-US" w:eastAsia="zh-CN"/>
              </w:rPr>
              <w:t>详见</w:t>
            </w:r>
            <w:r>
              <w:rPr>
                <w:rFonts w:hint="eastAsia"/>
              </w:rPr>
              <w:t>采购需求说明</w:t>
            </w:r>
          </w:p>
        </w:tc>
        <w:tc>
          <w:tcPr>
            <w:tcW w:w="632" w:type="dxa"/>
            <w:tcBorders>
              <w:top w:val="outset" w:color="auto" w:sz="6" w:space="0"/>
              <w:left w:val="outset" w:color="auto" w:sz="6" w:space="0"/>
              <w:right w:val="outset" w:color="auto" w:sz="6" w:space="0"/>
            </w:tcBorders>
            <w:vAlign w:val="center"/>
          </w:tcPr>
          <w:p>
            <w:pPr>
              <w:jc w:val="center"/>
              <w:rPr>
                <w:rFonts w:hint="eastAsia" w:eastAsiaTheme="minorEastAsia"/>
                <w:lang w:val="en-US" w:eastAsia="zh-CN"/>
              </w:rPr>
            </w:pPr>
            <w:r>
              <w:rPr>
                <w:rFonts w:hint="eastAsia"/>
                <w:lang w:val="en-US" w:eastAsia="zh-CN"/>
              </w:rPr>
              <w:t>1</w:t>
            </w:r>
          </w:p>
        </w:tc>
        <w:tc>
          <w:tcPr>
            <w:tcW w:w="622" w:type="dxa"/>
            <w:tcBorders>
              <w:top w:val="outset" w:color="auto" w:sz="6" w:space="0"/>
              <w:left w:val="outset" w:color="auto" w:sz="6" w:space="0"/>
              <w:right w:val="outset" w:color="auto" w:sz="6" w:space="0"/>
            </w:tcBorders>
            <w:vAlign w:val="center"/>
          </w:tcPr>
          <w:p>
            <w:pPr>
              <w:jc w:val="center"/>
              <w:rPr>
                <w:rFonts w:hint="eastAsia" w:eastAsiaTheme="minorEastAsia"/>
                <w:lang w:val="en-US" w:eastAsia="zh-CN"/>
              </w:rPr>
            </w:pPr>
            <w:r>
              <w:rPr>
                <w:rFonts w:hint="eastAsia"/>
                <w:lang w:val="en-US" w:eastAsia="zh-CN"/>
              </w:rPr>
              <w:t>项</w:t>
            </w:r>
          </w:p>
        </w:tc>
        <w:tc>
          <w:tcPr>
            <w:tcW w:w="954" w:type="dxa"/>
            <w:tcBorders>
              <w:top w:val="outset" w:color="auto" w:sz="6" w:space="0"/>
              <w:left w:val="outset" w:color="auto" w:sz="6" w:space="0"/>
              <w:right w:val="outset" w:color="auto" w:sz="6" w:space="0"/>
            </w:tcBorders>
            <w:vAlign w:val="center"/>
          </w:tcPr>
          <w:p>
            <w:pPr>
              <w:jc w:val="center"/>
            </w:pPr>
          </w:p>
        </w:tc>
        <w:tc>
          <w:tcPr>
            <w:tcW w:w="954" w:type="dxa"/>
            <w:tcBorders>
              <w:top w:val="outset" w:color="auto" w:sz="6" w:space="0"/>
              <w:left w:val="outset" w:color="auto" w:sz="6" w:space="0"/>
              <w:right w:val="outset" w:color="auto" w:sz="6" w:space="0"/>
            </w:tcBorders>
            <w:vAlign w:val="center"/>
          </w:tcPr>
          <w:p>
            <w:pPr>
              <w:jc w:val="center"/>
            </w:pPr>
          </w:p>
        </w:tc>
        <w:tc>
          <w:tcPr>
            <w:tcW w:w="1431" w:type="dxa"/>
            <w:tcBorders>
              <w:top w:val="outset" w:color="auto" w:sz="6" w:space="0"/>
              <w:left w:val="outset" w:color="auto" w:sz="6" w:space="0"/>
              <w:right w:val="outset" w:color="auto" w:sz="6" w:space="0"/>
            </w:tcBorders>
            <w:vAlign w:val="center"/>
          </w:tcPr>
          <w:p>
            <w:pPr>
              <w:jc w:val="center"/>
            </w:pPr>
          </w:p>
        </w:tc>
      </w:tr>
    </w:tbl>
    <w:p>
      <w:pPr>
        <w:pStyle w:val="83"/>
        <w:ind w:firstLine="470" w:firstLineChars="196"/>
        <w:jc w:val="center"/>
        <w:rPr>
          <w:rFonts w:ascii="宋体" w:hAnsi="宋体"/>
          <w:color w:val="000000"/>
          <w:sz w:val="24"/>
          <w:szCs w:val="24"/>
        </w:rPr>
      </w:pPr>
    </w:p>
    <w:p>
      <w:pPr>
        <w:pStyle w:val="83"/>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83"/>
        <w:ind w:firstLine="470" w:firstLineChars="196"/>
        <w:rPr>
          <w:rFonts w:ascii="宋体" w:hAnsi="宋体"/>
          <w:color w:val="000000"/>
          <w:sz w:val="24"/>
          <w:szCs w:val="28"/>
        </w:rPr>
      </w:pPr>
    </w:p>
    <w:p>
      <w:pPr>
        <w:pStyle w:val="4"/>
        <w:numPr>
          <w:ilvl w:val="0"/>
          <w:numId w:val="3"/>
        </w:numPr>
        <w:spacing w:line="276" w:lineRule="auto"/>
        <w:ind w:firstLine="0"/>
        <w:rPr>
          <w:rFonts w:ascii="宋体" w:hAnsi="宋体" w:eastAsia="宋体"/>
          <w:sz w:val="28"/>
          <w:szCs w:val="28"/>
        </w:rPr>
      </w:pPr>
      <w:r>
        <w:rPr>
          <w:rFonts w:hint="eastAsia" w:ascii="宋体" w:hAnsi="宋体" w:eastAsia="宋体" w:cs="宋体"/>
          <w:sz w:val="28"/>
          <w:szCs w:val="28"/>
        </w:rPr>
        <w:t xml:space="preserve">  评审程序、方法和标准</w:t>
      </w:r>
    </w:p>
    <w:p>
      <w:pPr>
        <w:spacing w:line="276" w:lineRule="auto"/>
        <w:rPr>
          <w:rFonts w:ascii="宋体" w:hAnsi="宋体" w:cs="宋体"/>
          <w:b/>
          <w:color w:val="000000"/>
          <w:sz w:val="24"/>
        </w:rPr>
      </w:pPr>
      <w:bookmarkStart w:id="34" w:name="EB066763282e454600abc10582fb4919e1"/>
      <w:r>
        <w:rPr>
          <w:rFonts w:hint="eastAsia" w:ascii="宋体" w:hAnsi="宋体" w:cs="宋体"/>
          <w:b/>
          <w:color w:val="000000"/>
          <w:sz w:val="24"/>
        </w:rPr>
        <w:t>一、评审程序</w:t>
      </w:r>
    </w:p>
    <w:p>
      <w:pPr>
        <w:spacing w:line="276" w:lineRule="auto"/>
        <w:rPr>
          <w:rFonts w:ascii="宋体" w:hAnsi="宋体" w:cs="宋体"/>
          <w:b/>
          <w:color w:val="000000"/>
          <w:sz w:val="24"/>
        </w:rPr>
      </w:pPr>
      <w:r>
        <w:rPr>
          <w:rFonts w:hint="eastAsia" w:ascii="宋体" w:hAnsi="宋体" w:cs="宋体"/>
          <w:b/>
          <w:color w:val="000000"/>
          <w:sz w:val="24"/>
        </w:rPr>
        <w:t xml:space="preserve">（一）、评审原则 </w:t>
      </w:r>
    </w:p>
    <w:p>
      <w:pPr>
        <w:spacing w:line="276" w:lineRule="auto"/>
        <w:ind w:firstLine="480" w:firstLineChars="200"/>
        <w:rPr>
          <w:rFonts w:ascii="宋体" w:hAnsi="宋体" w:cs="宋体"/>
          <w:color w:val="000000"/>
          <w:sz w:val="24"/>
        </w:rPr>
      </w:pPr>
      <w:r>
        <w:rPr>
          <w:rFonts w:hint="eastAsia" w:ascii="宋体" w:hAnsi="宋体" w:cs="宋体"/>
          <w:color w:val="000000"/>
          <w:sz w:val="24"/>
        </w:rPr>
        <w:t>1、合法、合规原则。</w:t>
      </w:r>
    </w:p>
    <w:p>
      <w:pPr>
        <w:spacing w:line="276" w:lineRule="auto"/>
        <w:ind w:firstLine="480" w:firstLineChars="200"/>
        <w:rPr>
          <w:rFonts w:ascii="宋体" w:hAnsi="宋体" w:cs="宋体"/>
          <w:color w:val="000000"/>
          <w:sz w:val="24"/>
        </w:rPr>
      </w:pPr>
      <w:r>
        <w:rPr>
          <w:rFonts w:hint="eastAsia" w:ascii="宋体" w:hAnsi="宋体" w:cs="宋体"/>
          <w:color w:val="000000"/>
          <w:sz w:val="24"/>
        </w:rPr>
        <w:t>2、符合芜湖市公共资源交易中心交易规则原则。</w:t>
      </w:r>
    </w:p>
    <w:p>
      <w:pPr>
        <w:spacing w:line="276" w:lineRule="auto"/>
        <w:ind w:firstLine="480" w:firstLineChars="200"/>
        <w:rPr>
          <w:rFonts w:ascii="宋体" w:hAnsi="宋体" w:cs="宋体"/>
          <w:color w:val="000000"/>
          <w:sz w:val="24"/>
        </w:rPr>
      </w:pPr>
      <w:r>
        <w:rPr>
          <w:rFonts w:hint="eastAsia" w:ascii="宋体" w:hAnsi="宋体" w:cs="宋体"/>
          <w:color w:val="000000"/>
          <w:sz w:val="24"/>
        </w:rPr>
        <w:t>3、公平、公正、科学、审慎、择优原则。</w:t>
      </w:r>
    </w:p>
    <w:p>
      <w:pPr>
        <w:spacing w:line="276" w:lineRule="auto"/>
        <w:ind w:firstLine="480" w:firstLineChars="200"/>
        <w:rPr>
          <w:rFonts w:ascii="宋体" w:hAnsi="宋体" w:cs="宋体"/>
          <w:color w:val="000000"/>
          <w:sz w:val="24"/>
        </w:rPr>
      </w:pPr>
      <w:r>
        <w:rPr>
          <w:rFonts w:hint="eastAsia" w:ascii="宋体" w:hAnsi="宋体" w:cs="宋体"/>
          <w:color w:val="000000"/>
          <w:sz w:val="24"/>
        </w:rPr>
        <w:t>4、高分优先原则。衡量响应文件满足竞争性磋商文件规定的各项评审标准的程度，折算为综合得分分值，依据每个磋商供应商的综合得分由高到低，依次确定排名顺序。</w:t>
      </w:r>
    </w:p>
    <w:p>
      <w:pPr>
        <w:spacing w:line="276" w:lineRule="auto"/>
        <w:rPr>
          <w:rFonts w:ascii="宋体" w:hAnsi="宋体" w:cs="宋体"/>
          <w:b/>
          <w:color w:val="000000"/>
          <w:sz w:val="24"/>
        </w:rPr>
      </w:pPr>
      <w:bookmarkStart w:id="35" w:name="_Hlk35936807"/>
      <w:bookmarkStart w:id="36" w:name="_Hlk39906399"/>
      <w:r>
        <w:rPr>
          <w:rFonts w:hint="eastAsia" w:ascii="宋体" w:hAnsi="宋体" w:cs="宋体"/>
          <w:b/>
          <w:color w:val="000000"/>
          <w:sz w:val="24"/>
        </w:rPr>
        <w:t>（</w:t>
      </w:r>
      <w:r>
        <w:rPr>
          <w:rFonts w:hint="eastAsia" w:ascii="宋体" w:hAnsi="宋体" w:cs="宋体"/>
          <w:b/>
          <w:color w:val="000000"/>
          <w:sz w:val="24"/>
          <w:lang w:val="en-US" w:eastAsia="zh-CN"/>
        </w:rPr>
        <w:t>二</w:t>
      </w:r>
      <w:r>
        <w:rPr>
          <w:rFonts w:hint="eastAsia" w:ascii="宋体" w:hAnsi="宋体" w:cs="宋体"/>
          <w:b/>
          <w:color w:val="000000"/>
          <w:sz w:val="24"/>
        </w:rPr>
        <w:t>）评审内容</w:t>
      </w:r>
    </w:p>
    <w:p>
      <w:pPr>
        <w:spacing w:line="276" w:lineRule="auto"/>
        <w:ind w:firstLine="480" w:firstLineChars="200"/>
        <w:rPr>
          <w:rFonts w:ascii="宋体" w:hAnsi="宋体" w:cs="宋体"/>
          <w:color w:val="000000"/>
          <w:sz w:val="24"/>
        </w:rPr>
      </w:pPr>
      <w:r>
        <w:rPr>
          <w:rFonts w:hint="eastAsia" w:ascii="宋体" w:hAnsi="宋体" w:cs="宋体"/>
          <w:color w:val="000000"/>
          <w:sz w:val="24"/>
        </w:rPr>
        <w:t>1、磋商响应文件评审内容及标准</w:t>
      </w:r>
    </w:p>
    <w:p>
      <w:pPr>
        <w:spacing w:line="276" w:lineRule="auto"/>
        <w:ind w:firstLine="480" w:firstLineChars="200"/>
        <w:rPr>
          <w:rFonts w:ascii="宋体" w:hAnsi="宋体" w:cs="宋体"/>
          <w:color w:val="000000"/>
          <w:sz w:val="24"/>
        </w:rPr>
      </w:pPr>
      <w:r>
        <w:rPr>
          <w:rFonts w:hint="eastAsia" w:ascii="宋体" w:hAnsi="宋体" w:cs="宋体"/>
          <w:color w:val="000000"/>
          <w:sz w:val="24"/>
        </w:rPr>
        <w:t>采购人或采购代理机构对响应文件的资格性审查作合格性评审, 评审结论分为“合格”与“不合格”。评审不合格的投标文件不再进行后续评审。</w:t>
      </w:r>
    </w:p>
    <w:p>
      <w:pPr>
        <w:spacing w:line="276" w:lineRule="auto"/>
        <w:ind w:firstLine="480" w:firstLineChars="200"/>
        <w:rPr>
          <w:rFonts w:ascii="宋体" w:hAnsi="宋体" w:cs="宋体"/>
          <w:color w:val="000000"/>
          <w:sz w:val="24"/>
        </w:rPr>
      </w:pPr>
      <w:r>
        <w:rPr>
          <w:rFonts w:hint="eastAsia" w:ascii="宋体" w:hAnsi="宋体" w:cs="宋体"/>
          <w:color w:val="000000"/>
          <w:sz w:val="24"/>
        </w:rPr>
        <w:t>有下列评审标准情形之一的，应做无效投标处理：</w:t>
      </w:r>
    </w:p>
    <w:tbl>
      <w:tblPr>
        <w:tblStyle w:val="25"/>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06"/>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gridSpan w:val="2"/>
            <w:vAlign w:val="center"/>
          </w:tcPr>
          <w:p>
            <w:pPr>
              <w:spacing w:line="440" w:lineRule="exact"/>
              <w:ind w:firstLine="630" w:firstLineChars="300"/>
              <w:rPr>
                <w:rFonts w:ascii="宋体" w:hAnsi="宋体"/>
              </w:rPr>
            </w:pPr>
            <w:r>
              <w:rPr>
                <w:rFonts w:hint="eastAsia" w:ascii="宋体" w:hAnsi="宋体"/>
              </w:rPr>
              <w:t>评审内容</w:t>
            </w:r>
          </w:p>
        </w:tc>
        <w:tc>
          <w:tcPr>
            <w:tcW w:w="6107" w:type="dxa"/>
            <w:vAlign w:val="center"/>
          </w:tcPr>
          <w:p>
            <w:pPr>
              <w:spacing w:line="440" w:lineRule="exact"/>
              <w:ind w:firstLine="630" w:firstLineChars="300"/>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spacing w:line="440" w:lineRule="exact"/>
              <w:ind w:firstLine="630" w:firstLineChars="300"/>
              <w:jc w:val="center"/>
              <w:rPr>
                <w:rFonts w:ascii="宋体" w:hAnsi="宋体"/>
              </w:rPr>
            </w:pPr>
            <w:r>
              <w:rPr>
                <w:rFonts w:hint="eastAsia" w:ascii="宋体" w:hAnsi="宋体"/>
              </w:rPr>
              <w:t>资资格性审查</w:t>
            </w:r>
          </w:p>
        </w:tc>
        <w:tc>
          <w:tcPr>
            <w:tcW w:w="2106" w:type="dxa"/>
            <w:vAlign w:val="center"/>
          </w:tcPr>
          <w:p>
            <w:pPr>
              <w:spacing w:line="440" w:lineRule="exact"/>
              <w:ind w:firstLine="630" w:firstLineChars="300"/>
              <w:rPr>
                <w:rFonts w:ascii="宋体" w:hAnsi="宋体"/>
              </w:rPr>
            </w:pPr>
            <w:r>
              <w:rPr>
                <w:rFonts w:hint="eastAsia" w:ascii="宋体" w:hAnsi="宋体"/>
              </w:rPr>
              <w:t>营业执照</w:t>
            </w:r>
          </w:p>
        </w:tc>
        <w:tc>
          <w:tcPr>
            <w:tcW w:w="6107" w:type="dxa"/>
            <w:vAlign w:val="center"/>
          </w:tcPr>
          <w:p>
            <w:pPr>
              <w:spacing w:line="440" w:lineRule="exact"/>
              <w:jc w:val="center"/>
              <w:rPr>
                <w:rFonts w:ascii="宋体" w:hAnsi="宋体"/>
              </w:rPr>
            </w:pPr>
            <w:r>
              <w:rPr>
                <w:rFonts w:hint="eastAsia" w:ascii="宋体" w:hAnsi="宋体"/>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ind w:firstLine="630" w:firstLineChars="300"/>
              <w:rPr>
                <w:rFonts w:ascii="宋体" w:hAnsi="宋体"/>
              </w:rPr>
            </w:pPr>
            <w:r>
              <w:rPr>
                <w:rFonts w:hint="eastAsia" w:ascii="宋体" w:hAnsi="宋体"/>
              </w:rPr>
              <w:t>资质条件</w:t>
            </w:r>
          </w:p>
        </w:tc>
        <w:tc>
          <w:tcPr>
            <w:tcW w:w="6107" w:type="dxa"/>
            <w:vAlign w:val="center"/>
          </w:tcPr>
          <w:p>
            <w:pPr>
              <w:spacing w:line="440" w:lineRule="exact"/>
              <w:jc w:val="center"/>
              <w:rPr>
                <w:rFonts w:ascii="宋体" w:hAnsi="宋体"/>
              </w:rPr>
            </w:pPr>
            <w:r>
              <w:rPr>
                <w:rFonts w:hint="eastAsia" w:ascii="宋体" w:hAnsi="宋体"/>
              </w:rPr>
              <w:t>不符合竞争性磋商采购文件要求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jc w:val="center"/>
              <w:rPr>
                <w:rFonts w:ascii="宋体" w:hAnsi="宋体"/>
              </w:rPr>
            </w:pPr>
            <w:r>
              <w:rPr>
                <w:rFonts w:hint="eastAsia" w:ascii="宋体" w:hAnsi="宋体"/>
              </w:rPr>
              <w:t>法定代表人或授权代表资格</w:t>
            </w:r>
          </w:p>
        </w:tc>
        <w:tc>
          <w:tcPr>
            <w:tcW w:w="6107" w:type="dxa"/>
            <w:vAlign w:val="center"/>
          </w:tcPr>
          <w:p>
            <w:pPr>
              <w:spacing w:line="440" w:lineRule="exact"/>
              <w:jc w:val="center"/>
              <w:rPr>
                <w:rFonts w:ascii="宋体" w:hAnsi="宋体"/>
              </w:rPr>
            </w:pPr>
            <w:r>
              <w:rPr>
                <w:rFonts w:hint="eastAsia" w:ascii="宋体" w:hAnsi="宋体"/>
              </w:rPr>
              <w:t>不符合竞争性磋商采购文件要求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jc w:val="center"/>
              <w:rPr>
                <w:rFonts w:ascii="宋体" w:hAnsi="宋体"/>
              </w:rPr>
            </w:pPr>
            <w:r>
              <w:rPr>
                <w:rFonts w:hint="eastAsia"/>
                <w:color w:val="000000"/>
              </w:rPr>
              <w:t>不良行为记录</w:t>
            </w:r>
          </w:p>
        </w:tc>
        <w:tc>
          <w:tcPr>
            <w:tcW w:w="6107" w:type="dxa"/>
            <w:vAlign w:val="center"/>
          </w:tcPr>
          <w:p>
            <w:pPr>
              <w:spacing w:line="440" w:lineRule="exact"/>
              <w:jc w:val="center"/>
              <w:rPr>
                <w:rFonts w:ascii="宋体" w:hAnsi="宋体"/>
              </w:rPr>
            </w:pPr>
            <w:r>
              <w:rPr>
                <w:rFonts w:hint="eastAsia"/>
                <w:color w:val="000000"/>
              </w:rPr>
              <w:t>符合招标公告要求（此项内容投标人无需提供相应证明材料）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ind w:firstLine="630" w:firstLineChars="300"/>
              <w:rPr>
                <w:rFonts w:ascii="宋体" w:hAnsi="宋体"/>
              </w:rPr>
            </w:pPr>
            <w:r>
              <w:rPr>
                <w:rFonts w:hint="eastAsia" w:ascii="宋体" w:hAnsi="宋体"/>
              </w:rPr>
              <w:t>其   他</w:t>
            </w:r>
          </w:p>
        </w:tc>
        <w:tc>
          <w:tcPr>
            <w:tcW w:w="6107" w:type="dxa"/>
            <w:vAlign w:val="center"/>
          </w:tcPr>
          <w:p>
            <w:pPr>
              <w:spacing w:line="440" w:lineRule="exact"/>
              <w:jc w:val="center"/>
              <w:rPr>
                <w:rFonts w:ascii="宋体" w:hAnsi="宋体"/>
              </w:rPr>
            </w:pPr>
            <w:r>
              <w:rPr>
                <w:rFonts w:hint="eastAsia" w:ascii="宋体" w:hAnsi="宋体"/>
              </w:rPr>
              <w:t>投标供应商被行政监督部门作出禁止投标处罚且在有效期内的，或其他违反法律法规和竞争性谈判采购文件规定的情形</w:t>
            </w:r>
          </w:p>
        </w:tc>
      </w:tr>
    </w:tbl>
    <w:p>
      <w:pPr>
        <w:spacing w:line="276" w:lineRule="auto"/>
        <w:ind w:firstLine="480" w:firstLineChars="200"/>
        <w:rPr>
          <w:rFonts w:ascii="宋体" w:hAnsi="宋体" w:cs="宋体"/>
          <w:color w:val="000000"/>
          <w:sz w:val="24"/>
        </w:rPr>
      </w:pPr>
    </w:p>
    <w:p>
      <w:pPr>
        <w:spacing w:line="276" w:lineRule="auto"/>
        <w:ind w:firstLine="480" w:firstLineChars="200"/>
        <w:rPr>
          <w:rFonts w:ascii="宋体" w:hAnsi="宋体" w:cs="宋体"/>
          <w:color w:val="000000"/>
          <w:sz w:val="24"/>
        </w:rPr>
      </w:pPr>
      <w:r>
        <w:rPr>
          <w:rFonts w:hint="eastAsia" w:ascii="宋体" w:hAnsi="宋体" w:cs="宋体"/>
          <w:color w:val="000000"/>
          <w:sz w:val="24"/>
        </w:rPr>
        <w:t>评标委员会对评标委员会应对响应文件中货物清单品牌、规格型号、技术参数和售后服务等内容是否满足竞争性谈判采购文件要求进行评审。评审不合格的谈判响应文件不再进行后续一对一谈判。</w:t>
      </w:r>
    </w:p>
    <w:p>
      <w:pPr>
        <w:spacing w:line="276" w:lineRule="auto"/>
        <w:ind w:firstLine="480" w:firstLineChars="200"/>
        <w:rPr>
          <w:rFonts w:ascii="宋体" w:hAnsi="宋体" w:cs="宋体"/>
          <w:color w:val="000000"/>
          <w:sz w:val="24"/>
        </w:rPr>
      </w:pPr>
      <w:r>
        <w:rPr>
          <w:rFonts w:hint="eastAsia" w:ascii="宋体" w:hAnsi="宋体" w:cs="宋体"/>
          <w:color w:val="000000"/>
          <w:sz w:val="24"/>
        </w:rPr>
        <w:t xml:space="preserve">有下列评审标准情形之一的，应做无效投标处理： </w:t>
      </w:r>
    </w:p>
    <w:tbl>
      <w:tblPr>
        <w:tblStyle w:val="25"/>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106"/>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gridSpan w:val="2"/>
            <w:vAlign w:val="center"/>
          </w:tcPr>
          <w:p>
            <w:pPr>
              <w:spacing w:line="440" w:lineRule="exact"/>
              <w:ind w:firstLine="630" w:firstLineChars="300"/>
              <w:rPr>
                <w:rFonts w:ascii="宋体" w:hAnsi="宋体"/>
              </w:rPr>
            </w:pPr>
            <w:r>
              <w:rPr>
                <w:rFonts w:hint="eastAsia" w:ascii="宋体" w:hAnsi="宋体"/>
              </w:rPr>
              <w:t>评审内容</w:t>
            </w:r>
          </w:p>
        </w:tc>
        <w:tc>
          <w:tcPr>
            <w:tcW w:w="6107" w:type="dxa"/>
            <w:vAlign w:val="center"/>
          </w:tcPr>
          <w:p>
            <w:pPr>
              <w:spacing w:line="440" w:lineRule="exact"/>
              <w:ind w:firstLine="630" w:firstLineChars="300"/>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pPr>
              <w:spacing w:line="440" w:lineRule="exact"/>
              <w:ind w:firstLine="630" w:firstLineChars="300"/>
              <w:rPr>
                <w:rFonts w:ascii="宋体" w:hAnsi="宋体"/>
              </w:rPr>
            </w:pPr>
            <w:r>
              <w:rPr>
                <w:rFonts w:hint="eastAsia" w:ascii="宋体" w:hAnsi="宋体"/>
              </w:rPr>
              <w:t>符</w:t>
            </w:r>
          </w:p>
          <w:p>
            <w:pPr>
              <w:spacing w:line="440" w:lineRule="exact"/>
              <w:ind w:firstLine="630" w:firstLineChars="300"/>
              <w:rPr>
                <w:rFonts w:ascii="宋体" w:hAnsi="宋体"/>
              </w:rPr>
            </w:pPr>
          </w:p>
          <w:p>
            <w:pPr>
              <w:spacing w:line="440" w:lineRule="exact"/>
              <w:ind w:firstLine="630" w:firstLineChars="300"/>
              <w:rPr>
                <w:rFonts w:ascii="宋体" w:hAnsi="宋体"/>
              </w:rPr>
            </w:pPr>
          </w:p>
          <w:p>
            <w:pPr>
              <w:spacing w:line="440" w:lineRule="exact"/>
              <w:rPr>
                <w:rFonts w:ascii="宋体" w:hAnsi="宋体"/>
              </w:rPr>
            </w:pPr>
            <w:r>
              <w:rPr>
                <w:rFonts w:hint="eastAsia" w:ascii="宋体" w:hAnsi="宋体"/>
              </w:rPr>
              <w:t>符合性审查</w:t>
            </w:r>
          </w:p>
        </w:tc>
        <w:tc>
          <w:tcPr>
            <w:tcW w:w="2106" w:type="dxa"/>
            <w:tcBorders>
              <w:bottom w:val="single" w:color="auto" w:sz="4" w:space="0"/>
            </w:tcBorders>
            <w:vAlign w:val="center"/>
          </w:tcPr>
          <w:p>
            <w:pPr>
              <w:spacing w:line="440" w:lineRule="exact"/>
              <w:jc w:val="center"/>
              <w:rPr>
                <w:rFonts w:ascii="宋体" w:hAnsi="宋体"/>
              </w:rPr>
            </w:pPr>
            <w:r>
              <w:rPr>
                <w:rFonts w:hint="eastAsia" w:ascii="宋体" w:hAnsi="宋体"/>
              </w:rPr>
              <w:t>投标供应商名称</w:t>
            </w:r>
          </w:p>
        </w:tc>
        <w:tc>
          <w:tcPr>
            <w:tcW w:w="6107" w:type="dxa"/>
            <w:tcBorders>
              <w:bottom w:val="single" w:color="auto" w:sz="4" w:space="0"/>
            </w:tcBorders>
            <w:vAlign w:val="center"/>
          </w:tcPr>
          <w:p>
            <w:pPr>
              <w:spacing w:line="440" w:lineRule="exact"/>
              <w:jc w:val="center"/>
              <w:rPr>
                <w:rFonts w:ascii="宋体" w:hAnsi="宋体"/>
              </w:rPr>
            </w:pPr>
            <w:r>
              <w:rPr>
                <w:rFonts w:hint="eastAsia" w:ascii="宋体" w:hAnsi="宋体"/>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jc w:val="center"/>
              <w:rPr>
                <w:rFonts w:ascii="宋体" w:hAnsi="宋体"/>
              </w:rPr>
            </w:pPr>
            <w:r>
              <w:rPr>
                <w:rFonts w:hint="eastAsia" w:ascii="宋体" w:hAnsi="宋体"/>
              </w:rPr>
              <w:t>投标文件签署</w:t>
            </w:r>
          </w:p>
        </w:tc>
        <w:tc>
          <w:tcPr>
            <w:tcW w:w="6107" w:type="dxa"/>
            <w:vAlign w:val="center"/>
          </w:tcPr>
          <w:p>
            <w:pPr>
              <w:spacing w:line="440" w:lineRule="exact"/>
              <w:jc w:val="center"/>
              <w:rPr>
                <w:rFonts w:ascii="宋体" w:hAnsi="宋体"/>
              </w:rPr>
            </w:pPr>
            <w:r>
              <w:rPr>
                <w:rFonts w:hint="eastAsia" w:ascii="宋体" w:hAnsi="宋体"/>
              </w:rPr>
              <w:t>未按竞争性磋商采购文件要求加盖公章且无法定代表人或授权代表签字（签章）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jc w:val="center"/>
              <w:rPr>
                <w:rFonts w:ascii="宋体" w:hAnsi="宋体"/>
              </w:rPr>
            </w:pPr>
            <w:r>
              <w:rPr>
                <w:rFonts w:hint="eastAsia" w:ascii="宋体" w:hAnsi="宋体"/>
              </w:rPr>
              <w:t>投标方案及报价</w:t>
            </w:r>
          </w:p>
        </w:tc>
        <w:tc>
          <w:tcPr>
            <w:tcW w:w="6107" w:type="dxa"/>
            <w:vAlign w:val="center"/>
          </w:tcPr>
          <w:p>
            <w:pPr>
              <w:spacing w:line="440" w:lineRule="exact"/>
              <w:jc w:val="center"/>
              <w:rPr>
                <w:rFonts w:ascii="宋体" w:hAnsi="宋体"/>
              </w:rPr>
            </w:pPr>
            <w:r>
              <w:rPr>
                <w:rFonts w:hint="eastAsia" w:ascii="宋体" w:hAnsi="宋体"/>
              </w:rPr>
              <w:t>递交两份或多份内容不同的投标文件，或在一份投标文件中对同一招标项目有两个或多个报价，且未声明哪一个有效的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jc w:val="center"/>
              <w:rPr>
                <w:rFonts w:ascii="宋体" w:hAnsi="宋体"/>
              </w:rPr>
            </w:pPr>
            <w:r>
              <w:rPr>
                <w:rFonts w:hint="eastAsia" w:ascii="宋体" w:hAnsi="宋体"/>
              </w:rPr>
              <w:t>投标有效期</w:t>
            </w:r>
          </w:p>
        </w:tc>
        <w:tc>
          <w:tcPr>
            <w:tcW w:w="6107" w:type="dxa"/>
            <w:vAlign w:val="center"/>
          </w:tcPr>
          <w:p>
            <w:pPr>
              <w:spacing w:line="440" w:lineRule="exact"/>
              <w:jc w:val="center"/>
              <w:rPr>
                <w:rFonts w:ascii="宋体" w:hAnsi="宋体"/>
              </w:rPr>
            </w:pPr>
            <w:r>
              <w:rPr>
                <w:rFonts w:hint="eastAsia" w:ascii="宋体" w:hAnsi="宋体"/>
              </w:rPr>
              <w:t>不符合竞争性磋商采购文件要求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jc w:val="center"/>
            </w:pPr>
            <w:r>
              <w:rPr>
                <w:rFonts w:hint="eastAsia"/>
              </w:rPr>
              <w:t>投标保证金</w:t>
            </w:r>
          </w:p>
        </w:tc>
        <w:tc>
          <w:tcPr>
            <w:tcW w:w="6107" w:type="dxa"/>
            <w:vAlign w:val="center"/>
          </w:tcPr>
          <w:p>
            <w:pPr>
              <w:jc w:val="center"/>
            </w:pPr>
            <w:r>
              <w:rPr>
                <w:rFonts w:hint="eastAsia"/>
              </w:rPr>
              <w:t>不符合</w:t>
            </w:r>
            <w:r>
              <w:rPr>
                <w:rFonts w:hint="eastAsia" w:ascii="宋体" w:hAnsi="宋体"/>
              </w:rPr>
              <w:t>竞争性磋商</w:t>
            </w:r>
            <w:r>
              <w:rPr>
                <w:rFonts w:hint="eastAsia"/>
              </w:rPr>
              <w:t>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spacing w:line="440" w:lineRule="exact"/>
              <w:jc w:val="center"/>
              <w:rPr>
                <w:rFonts w:ascii="宋体" w:hAnsi="宋体"/>
              </w:rPr>
            </w:pPr>
            <w:r>
              <w:rPr>
                <w:rFonts w:hint="eastAsia" w:ascii="宋体" w:hAnsi="宋体"/>
              </w:rPr>
              <w:t>交货时间、地点、质保期或付款方式</w:t>
            </w:r>
          </w:p>
        </w:tc>
        <w:tc>
          <w:tcPr>
            <w:tcW w:w="6107" w:type="dxa"/>
            <w:vAlign w:val="center"/>
          </w:tcPr>
          <w:p>
            <w:pPr>
              <w:spacing w:line="440" w:lineRule="exact"/>
              <w:jc w:val="center"/>
              <w:rPr>
                <w:rFonts w:ascii="宋体" w:hAnsi="宋体"/>
              </w:rPr>
            </w:pPr>
            <w:r>
              <w:rPr>
                <w:rFonts w:hint="eastAsia" w:ascii="宋体" w:hAnsi="宋体"/>
              </w:rPr>
              <w:t>不符合竞争性磋商采购文件要求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vAlign w:val="center"/>
          </w:tcPr>
          <w:p>
            <w:pPr>
              <w:spacing w:line="440" w:lineRule="exact"/>
              <w:ind w:firstLine="630" w:firstLineChars="300"/>
              <w:rPr>
                <w:rFonts w:ascii="宋体" w:hAnsi="宋体"/>
              </w:rPr>
            </w:pPr>
          </w:p>
        </w:tc>
        <w:tc>
          <w:tcPr>
            <w:tcW w:w="2106" w:type="dxa"/>
            <w:vAlign w:val="center"/>
          </w:tcPr>
          <w:p>
            <w:pPr>
              <w:jc w:val="left"/>
            </w:pPr>
            <w:r>
              <w:rPr>
                <w:rFonts w:hint="eastAsia"/>
              </w:rPr>
              <w:t>投标文件的机器识别码</w:t>
            </w:r>
          </w:p>
        </w:tc>
        <w:tc>
          <w:tcPr>
            <w:tcW w:w="6107" w:type="dxa"/>
            <w:vAlign w:val="center"/>
          </w:tcPr>
          <w:p>
            <w:pPr>
              <w:ind w:firstLine="1470" w:firstLineChars="700"/>
              <w:jc w:val="left"/>
            </w:pPr>
            <w:r>
              <w:rPr>
                <w:rFonts w:hint="eastAsia"/>
              </w:rPr>
              <w:t>不同投标人的机器识别码相同</w:t>
            </w:r>
          </w:p>
        </w:tc>
      </w:tr>
      <w:bookmarkEnd w:id="35"/>
    </w:tbl>
    <w:p>
      <w:pPr>
        <w:spacing w:line="276" w:lineRule="auto"/>
        <w:ind w:firstLine="470" w:firstLineChars="196"/>
        <w:rPr>
          <w:rFonts w:ascii="宋体" w:hAnsi="宋体" w:cs="宋体"/>
          <w:color w:val="000000"/>
          <w:sz w:val="24"/>
        </w:rPr>
      </w:pPr>
      <w:r>
        <w:rPr>
          <w:rFonts w:hint="eastAsia" w:ascii="宋体" w:hAnsi="宋体" w:cs="宋体"/>
          <w:color w:val="000000"/>
          <w:sz w:val="24"/>
        </w:rPr>
        <w:t>2、评标委员会对通过以上审查的响应文件进行评估，确定与各供应商磋商的具体内容。</w:t>
      </w:r>
    </w:p>
    <w:p>
      <w:pPr>
        <w:spacing w:line="276" w:lineRule="auto"/>
        <w:ind w:firstLine="480" w:firstLineChars="200"/>
        <w:rPr>
          <w:rFonts w:ascii="宋体" w:hAnsi="宋体" w:cs="宋体"/>
          <w:color w:val="000000"/>
          <w:sz w:val="24"/>
        </w:rPr>
      </w:pPr>
      <w:r>
        <w:rPr>
          <w:rFonts w:hint="eastAsia" w:ascii="宋体" w:hAnsi="宋体" w:cs="宋体"/>
          <w:color w:val="000000"/>
          <w:sz w:val="24"/>
        </w:rPr>
        <w:t>3、围绕磋商要点，评标委员会全体成员按照各供应商签到顺序集中与单一供应商分别进行磋商。</w:t>
      </w:r>
    </w:p>
    <w:p>
      <w:pPr>
        <w:spacing w:line="276" w:lineRule="auto"/>
        <w:ind w:firstLine="480" w:firstLineChars="200"/>
        <w:rPr>
          <w:rFonts w:ascii="宋体" w:hAnsi="宋体" w:cs="宋体"/>
          <w:color w:val="000000"/>
          <w:sz w:val="24"/>
        </w:rPr>
      </w:pPr>
      <w:r>
        <w:rPr>
          <w:rFonts w:hint="eastAsia" w:ascii="宋体" w:hAnsi="宋体" w:cs="宋体"/>
          <w:color w:val="000000"/>
          <w:sz w:val="24"/>
        </w:rPr>
        <w:t>4、实质性变动</w:t>
      </w:r>
    </w:p>
    <w:p>
      <w:pPr>
        <w:spacing w:line="276" w:lineRule="auto"/>
        <w:ind w:firstLine="480" w:firstLineChars="200"/>
        <w:rPr>
          <w:rFonts w:ascii="宋体" w:hAnsi="宋体" w:cs="宋体"/>
          <w:color w:val="000000"/>
          <w:sz w:val="24"/>
        </w:rPr>
      </w:pPr>
      <w:r>
        <w:rPr>
          <w:rFonts w:hint="eastAsia" w:ascii="宋体" w:hAnsi="宋体" w:cs="宋体"/>
          <w:color w:val="000000"/>
          <w:sz w:val="24"/>
        </w:rPr>
        <w:t>磋商过程中，评标委员会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pPr>
        <w:spacing w:line="276" w:lineRule="auto"/>
        <w:ind w:firstLine="480" w:firstLineChars="200"/>
        <w:rPr>
          <w:rFonts w:ascii="宋体" w:hAnsi="宋体" w:cs="宋体"/>
          <w:color w:val="000000"/>
          <w:sz w:val="24"/>
        </w:rPr>
      </w:pPr>
      <w:r>
        <w:rPr>
          <w:rFonts w:hint="eastAsia" w:ascii="宋体" w:hAnsi="宋体" w:cs="宋体"/>
          <w:color w:val="000000"/>
          <w:sz w:val="24"/>
        </w:rPr>
        <w:t>磋商供应商按照竞争性磋商文件的变动情况和评标委员会的要求，在规定的时间内以书面形式作出响应，并由其法定代表人或授权代表签字或者加盖公章。</w:t>
      </w:r>
    </w:p>
    <w:p>
      <w:pPr>
        <w:spacing w:line="276" w:lineRule="auto"/>
        <w:ind w:firstLine="480" w:firstLineChars="200"/>
        <w:rPr>
          <w:rFonts w:ascii="宋体" w:hAnsi="宋体" w:cs="宋体"/>
          <w:color w:val="000000"/>
          <w:sz w:val="24"/>
        </w:rPr>
      </w:pPr>
      <w:r>
        <w:rPr>
          <w:rFonts w:hint="eastAsia" w:ascii="宋体" w:hAnsi="宋体" w:cs="宋体"/>
          <w:color w:val="000000"/>
          <w:sz w:val="24"/>
        </w:rPr>
        <w:t>未按要求作出响应的响应文件，将视为无效投标。</w:t>
      </w:r>
    </w:p>
    <w:p>
      <w:pPr>
        <w:spacing w:line="276" w:lineRule="auto"/>
        <w:ind w:firstLine="480" w:firstLineChars="200"/>
        <w:rPr>
          <w:rFonts w:ascii="宋体" w:hAnsi="宋体" w:cs="宋体"/>
          <w:color w:val="000000"/>
          <w:sz w:val="24"/>
        </w:rPr>
      </w:pPr>
      <w:r>
        <w:rPr>
          <w:rFonts w:hint="eastAsia" w:ascii="宋体" w:hAnsi="宋体" w:cs="宋体"/>
          <w:color w:val="000000"/>
          <w:sz w:val="24"/>
        </w:rPr>
        <w:t>5、最后报价</w:t>
      </w:r>
    </w:p>
    <w:p>
      <w:pPr>
        <w:spacing w:line="276" w:lineRule="auto"/>
        <w:ind w:firstLine="480" w:firstLineChars="200"/>
        <w:rPr>
          <w:rFonts w:ascii="宋体" w:hAnsi="宋体" w:cs="宋体"/>
          <w:color w:val="000000"/>
          <w:sz w:val="24"/>
        </w:rPr>
      </w:pPr>
      <w:r>
        <w:rPr>
          <w:rFonts w:hint="eastAsia" w:ascii="宋体" w:hAnsi="宋体" w:cs="宋体"/>
          <w:color w:val="000000"/>
          <w:sz w:val="24"/>
        </w:rPr>
        <w:t>磋商结束后，评标委员会将要求实质性响应竞争性磋商文件的磋商供应商在规定时间内提交最后报价。在规定的时间内，没有提交最后报价的磋商供应商，视为退出磋商。未通过实质性响应的磋商供应商将不再进行最后报价。</w:t>
      </w:r>
    </w:p>
    <w:p>
      <w:pPr>
        <w:spacing w:line="276" w:lineRule="auto"/>
        <w:ind w:firstLine="480" w:firstLineChars="200"/>
        <w:rPr>
          <w:rFonts w:ascii="宋体" w:hAnsi="宋体" w:cs="宋体"/>
          <w:b/>
          <w:color w:val="000000"/>
          <w:sz w:val="24"/>
        </w:rPr>
      </w:pPr>
      <w:r>
        <w:rPr>
          <w:rFonts w:hint="eastAsia" w:ascii="宋体" w:hAnsi="宋体" w:cs="宋体"/>
          <w:color w:val="000000"/>
          <w:sz w:val="24"/>
        </w:rPr>
        <w:t>已提交响应文件的供应商，在提交最后报价之前，可以根据磋商情况退出磋商。其磋商保证金与未列为成交供应商的磋商保证金一同退还。</w:t>
      </w:r>
    </w:p>
    <w:p>
      <w:pPr>
        <w:spacing w:line="276" w:lineRule="auto"/>
        <w:ind w:firstLine="480" w:firstLineChars="200"/>
        <w:rPr>
          <w:rFonts w:ascii="宋体" w:hAnsi="宋体" w:cs="宋体"/>
          <w:color w:val="000000"/>
          <w:sz w:val="24"/>
        </w:rPr>
      </w:pPr>
      <w:r>
        <w:rPr>
          <w:rFonts w:hint="eastAsia" w:ascii="宋体" w:hAnsi="宋体" w:cs="宋体"/>
          <w:color w:val="000000"/>
          <w:sz w:val="24"/>
        </w:rPr>
        <w:t>经磋商确定最终采购需求和提交最后报价的供应商后，由评标委员会结合本竞争性磋商文件规定的政府采购政策进行的价格扣除及综合评分法对提交最后报价的供应商的响应文件和最后报价进行综合评分。</w:t>
      </w:r>
    </w:p>
    <w:bookmarkEnd w:id="36"/>
    <w:p>
      <w:pPr>
        <w:spacing w:line="276" w:lineRule="auto"/>
        <w:rPr>
          <w:rFonts w:ascii="宋体" w:hAnsi="宋体" w:cs="宋体"/>
          <w:b/>
          <w:color w:val="000000"/>
          <w:sz w:val="24"/>
        </w:rPr>
      </w:pPr>
      <w:r>
        <w:rPr>
          <w:rFonts w:hint="eastAsia" w:ascii="宋体" w:hAnsi="宋体" w:cs="宋体"/>
          <w:b/>
          <w:color w:val="000000"/>
          <w:sz w:val="24"/>
        </w:rPr>
        <w:t>二、评审方法和标准</w:t>
      </w:r>
    </w:p>
    <w:p>
      <w:pPr>
        <w:spacing w:line="276" w:lineRule="auto"/>
        <w:rPr>
          <w:rFonts w:ascii="宋体" w:hAnsi="宋体" w:cs="宋体"/>
          <w:b/>
          <w:color w:val="000000"/>
          <w:sz w:val="24"/>
        </w:rPr>
      </w:pPr>
      <w:r>
        <w:rPr>
          <w:rFonts w:hint="eastAsia" w:ascii="宋体" w:hAnsi="宋体" w:cs="宋体"/>
          <w:b/>
          <w:color w:val="000000"/>
          <w:sz w:val="24"/>
        </w:rPr>
        <w:t>（一）、评审方法</w:t>
      </w:r>
    </w:p>
    <w:p>
      <w:pPr>
        <w:spacing w:line="276" w:lineRule="auto"/>
        <w:ind w:firstLine="480" w:firstLineChars="200"/>
        <w:rPr>
          <w:rFonts w:ascii="宋体" w:hAnsi="宋体" w:cs="宋体"/>
          <w:sz w:val="24"/>
        </w:rPr>
      </w:pPr>
      <w:bookmarkStart w:id="37" w:name="_Hlk39664001"/>
      <w:r>
        <w:rPr>
          <w:rFonts w:hint="eastAsia" w:ascii="宋体" w:hAnsi="宋体" w:cs="宋体"/>
          <w:color w:val="000000"/>
          <w:sz w:val="24"/>
        </w:rPr>
        <w:t>1、本项目采用综合评分法，总分100分。综合评分法是指响应文件满足竞争性磋商文件全部实质性要求且按评审因素的量化指标评审得分</w:t>
      </w:r>
      <w:r>
        <w:rPr>
          <w:rFonts w:hint="eastAsia" w:ascii="宋体" w:hAnsi="宋体" w:cs="宋体"/>
          <w:sz w:val="24"/>
        </w:rPr>
        <w:t>由高到底的顺序推荐2名供应商为成交候选供应商。</w:t>
      </w:r>
    </w:p>
    <w:p>
      <w:pPr>
        <w:spacing w:line="276" w:lineRule="auto"/>
        <w:ind w:firstLine="360" w:firstLineChars="15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评标委员会按照竞争性磋商文件的要求和条件，根据各磋商供应商的技术、商务、价格、对竞争性磋商文件的响应程度等进行综合评价、评分，将评审总得分按照从高到低的顺序排列，并依此顺序推荐2名成交候选供应商。</w:t>
      </w:r>
    </w:p>
    <w:bookmarkEnd w:id="37"/>
    <w:p>
      <w:pPr>
        <w:spacing w:line="276" w:lineRule="auto"/>
        <w:ind w:firstLine="360" w:firstLineChars="150"/>
        <w:rPr>
          <w:rFonts w:ascii="宋体" w:hAnsi="宋体" w:cs="宋体"/>
          <w:color w:val="000000"/>
          <w:sz w:val="24"/>
        </w:rPr>
      </w:pPr>
      <w:r>
        <w:rPr>
          <w:rFonts w:hint="eastAsia" w:ascii="宋体" w:hAnsi="宋体" w:cs="宋体"/>
          <w:color w:val="000000"/>
          <w:sz w:val="24"/>
        </w:rPr>
        <w:t>3、例外情况</w:t>
      </w:r>
    </w:p>
    <w:p>
      <w:pPr>
        <w:spacing w:line="276" w:lineRule="auto"/>
        <w:ind w:firstLine="480" w:firstLineChars="200"/>
        <w:rPr>
          <w:rFonts w:ascii="宋体" w:hAnsi="宋体" w:cs="宋体"/>
          <w:color w:val="000000"/>
          <w:sz w:val="24"/>
        </w:rPr>
      </w:pPr>
      <w:r>
        <w:rPr>
          <w:rFonts w:hint="eastAsia" w:ascii="宋体" w:hAnsi="宋体" w:cs="宋体"/>
          <w:color w:val="000000"/>
          <w:sz w:val="24"/>
        </w:rPr>
        <w:t>评审总得分相同的，按最后报价由低到高的顺序排序；评审总得分及最后报价均相同的，按技术部分得分由高到低排序；依然相同的，由评标委员会现场抽签确定顺序。</w:t>
      </w:r>
    </w:p>
    <w:p>
      <w:pPr>
        <w:spacing w:line="276" w:lineRule="auto"/>
        <w:ind w:firstLine="480" w:firstLineChars="200"/>
        <w:rPr>
          <w:rFonts w:ascii="宋体" w:hAnsi="宋体" w:cs="宋体"/>
          <w:color w:val="000000"/>
          <w:sz w:val="24"/>
        </w:rPr>
      </w:pPr>
      <w:bookmarkStart w:id="38" w:name="_Hlk39906418"/>
      <w:r>
        <w:rPr>
          <w:rFonts w:hint="eastAsia" w:ascii="宋体" w:hAnsi="宋体" w:cs="宋体"/>
          <w:color w:val="000000"/>
          <w:sz w:val="24"/>
        </w:rPr>
        <w:t>本项目首次进行竞争性磋商时有效投标单位不足3家时，则宣布评标流标，第二次及以上进行竞争性磋商时，有效投标单位不足2家时，宣布评标流标。若原招标方式为公开招标现变更采购方式为竞争性磋商的，则有效投标单位不足2家时，宣布评标流标。</w:t>
      </w:r>
    </w:p>
    <w:bookmarkEnd w:id="38"/>
    <w:p>
      <w:pPr>
        <w:spacing w:line="540" w:lineRule="exact"/>
        <w:rPr>
          <w:rFonts w:ascii="宋体" w:hAnsi="宋体" w:cs="宋体"/>
          <w:b/>
          <w:sz w:val="24"/>
        </w:rPr>
      </w:pPr>
      <w:r>
        <w:rPr>
          <w:rFonts w:hint="eastAsia" w:ascii="宋体" w:hAnsi="宋体" w:cs="宋体"/>
          <w:b/>
          <w:sz w:val="24"/>
        </w:rPr>
        <w:t>（二）评审标准</w:t>
      </w:r>
      <w:r>
        <w:rPr>
          <w:rFonts w:hint="eastAsia" w:ascii="宋体" w:hAnsi="宋体" w:cs="宋体"/>
          <w:sz w:val="24"/>
        </w:rPr>
        <w:t>（数值计算结果均保留两位小数，第三位四舍五入）</w:t>
      </w:r>
    </w:p>
    <w:p>
      <w:pPr>
        <w:spacing w:line="540" w:lineRule="exact"/>
        <w:ind w:firstLine="482" w:firstLineChars="200"/>
        <w:rPr>
          <w:rFonts w:ascii="宋体" w:hAnsi="宋体" w:cs="宋体"/>
          <w:b/>
          <w:sz w:val="24"/>
        </w:rPr>
      </w:pPr>
      <w:r>
        <w:rPr>
          <w:rFonts w:hint="eastAsia" w:ascii="宋体" w:hAnsi="宋体" w:cs="宋体"/>
          <w:b/>
          <w:sz w:val="24"/>
        </w:rPr>
        <w:t>1、评审分值分布(满分100分)</w:t>
      </w:r>
    </w:p>
    <w:p>
      <w:pPr>
        <w:spacing w:line="360" w:lineRule="auto"/>
        <w:ind w:firstLine="480" w:firstLineChars="200"/>
        <w:rPr>
          <w:rFonts w:ascii="宋体" w:hAnsi="宋体" w:cs="宋体"/>
          <w:sz w:val="24"/>
        </w:rPr>
      </w:pPr>
      <w:r>
        <w:rPr>
          <w:rFonts w:hint="eastAsia" w:ascii="宋体" w:hAnsi="宋体" w:cs="宋体"/>
          <w:sz w:val="24"/>
        </w:rPr>
        <w:t>1.1商务部分（</w:t>
      </w:r>
      <w:r>
        <w:rPr>
          <w:rFonts w:hint="eastAsia" w:ascii="宋体" w:hAnsi="宋体" w:cs="宋体"/>
          <w:sz w:val="24"/>
          <w:lang w:val="en-US" w:eastAsia="zh-CN"/>
        </w:rPr>
        <w:t>60</w:t>
      </w:r>
      <w:r>
        <w:rPr>
          <w:rFonts w:hint="eastAsia" w:ascii="宋体" w:hAnsi="宋体" w:cs="宋体"/>
          <w:sz w:val="24"/>
        </w:rPr>
        <w:t>分）</w:t>
      </w:r>
    </w:p>
    <w:p>
      <w:pPr>
        <w:spacing w:line="360" w:lineRule="auto"/>
        <w:ind w:firstLine="480" w:firstLineChars="200"/>
        <w:rPr>
          <w:rFonts w:ascii="宋体" w:hAnsi="宋体" w:cs="宋体"/>
          <w:sz w:val="24"/>
        </w:rPr>
      </w:pPr>
      <w:r>
        <w:rPr>
          <w:rFonts w:hint="eastAsia" w:ascii="宋体" w:hAnsi="宋体" w:cs="宋体"/>
          <w:sz w:val="24"/>
        </w:rPr>
        <w:t>1.2技术部分（</w:t>
      </w:r>
      <w:r>
        <w:rPr>
          <w:rFonts w:hint="eastAsia" w:ascii="宋体" w:hAnsi="宋体" w:cs="宋体"/>
          <w:sz w:val="24"/>
          <w:lang w:val="en-US" w:eastAsia="zh-CN"/>
        </w:rPr>
        <w:t>40</w:t>
      </w:r>
      <w:r>
        <w:rPr>
          <w:rFonts w:hint="eastAsia" w:ascii="宋体" w:hAnsi="宋体" w:cs="宋体"/>
          <w:sz w:val="24"/>
        </w:rPr>
        <w:t>分）</w:t>
      </w:r>
    </w:p>
    <w:p>
      <w:pPr>
        <w:spacing w:line="360" w:lineRule="auto"/>
        <w:ind w:firstLine="562" w:firstLineChars="200"/>
        <w:rPr>
          <w:rFonts w:ascii="宋体" w:hAnsi="宋体" w:cs="宋体"/>
          <w:b/>
          <w:sz w:val="28"/>
          <w:szCs w:val="28"/>
        </w:rPr>
      </w:pPr>
      <w:r>
        <w:rPr>
          <w:rFonts w:hint="eastAsia" w:ascii="宋体" w:hAnsi="宋体" w:cs="宋体"/>
          <w:b/>
          <w:sz w:val="28"/>
          <w:szCs w:val="28"/>
        </w:rPr>
        <w:t>2、评审标准</w:t>
      </w:r>
    </w:p>
    <w:p>
      <w:pPr>
        <w:spacing w:line="360" w:lineRule="auto"/>
        <w:ind w:firstLine="240" w:firstLineChars="100"/>
        <w:rPr>
          <w:rFonts w:ascii="宋体" w:hAnsi="宋体" w:cs="宋体"/>
          <w:sz w:val="24"/>
        </w:rPr>
      </w:pPr>
      <w:r>
        <w:rPr>
          <w:rFonts w:hint="eastAsia" w:ascii="宋体" w:hAnsi="宋体" w:cs="宋体"/>
          <w:sz w:val="24"/>
        </w:rPr>
        <w:t>2.1商务部分评审内容及标准（</w:t>
      </w:r>
      <w:r>
        <w:rPr>
          <w:rFonts w:ascii="宋体" w:hAnsi="宋体" w:cs="宋体"/>
          <w:sz w:val="24"/>
        </w:rPr>
        <w:t>60</w:t>
      </w:r>
      <w:r>
        <w:rPr>
          <w:rFonts w:hint="eastAsia" w:ascii="宋体" w:hAnsi="宋体" w:cs="宋体"/>
          <w:sz w:val="24"/>
        </w:rPr>
        <w:t>分）</w:t>
      </w:r>
    </w:p>
    <w:tbl>
      <w:tblPr>
        <w:tblStyle w:val="2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8" w:type="dxa"/>
            <w:vAlign w:val="center"/>
          </w:tcPr>
          <w:p>
            <w:pPr>
              <w:spacing w:line="360" w:lineRule="auto"/>
              <w:rPr>
                <w:rFonts w:ascii="宋体" w:hAnsi="宋体" w:cs="宋体"/>
                <w:sz w:val="24"/>
              </w:rPr>
            </w:pPr>
            <w:r>
              <w:rPr>
                <w:rFonts w:hint="eastAsia" w:ascii="宋体" w:hAnsi="宋体" w:cs="宋体"/>
                <w:sz w:val="24"/>
              </w:rPr>
              <w:t>评审项目</w:t>
            </w:r>
          </w:p>
        </w:tc>
        <w:tc>
          <w:tcPr>
            <w:tcW w:w="7661" w:type="dxa"/>
            <w:vAlign w:val="center"/>
          </w:tcPr>
          <w:p>
            <w:pPr>
              <w:spacing w:line="360" w:lineRule="auto"/>
              <w:rPr>
                <w:rFonts w:ascii="宋体" w:hAnsi="宋体" w:cs="宋体"/>
                <w:sz w:val="24"/>
              </w:rPr>
            </w:pPr>
            <w:r>
              <w:rPr>
                <w:rFonts w:hint="eastAsia" w:ascii="宋体" w:hAnsi="宋体" w:cs="宋体"/>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038" w:type="dxa"/>
            <w:vAlign w:val="center"/>
          </w:tcPr>
          <w:p>
            <w:pPr>
              <w:spacing w:line="360" w:lineRule="auto"/>
              <w:jc w:val="center"/>
              <w:rPr>
                <w:rFonts w:ascii="宋体" w:hAnsi="宋体" w:cs="宋体"/>
                <w:sz w:val="24"/>
              </w:rPr>
            </w:pPr>
            <w:r>
              <w:rPr>
                <w:rFonts w:hint="eastAsia" w:ascii="宋体" w:hAnsi="宋体" w:cs="宋体"/>
                <w:sz w:val="24"/>
              </w:rPr>
              <w:t>投标报价（10分）</w:t>
            </w:r>
          </w:p>
        </w:tc>
        <w:tc>
          <w:tcPr>
            <w:tcW w:w="7661" w:type="dxa"/>
            <w:vAlign w:val="center"/>
          </w:tcPr>
          <w:p>
            <w:pPr>
              <w:numPr>
                <w:ilvl w:val="0"/>
                <w:numId w:val="4"/>
              </w:numPr>
              <w:spacing w:line="360" w:lineRule="auto"/>
              <w:rPr>
                <w:rFonts w:ascii="宋体" w:hAnsi="宋体" w:cs="宋体"/>
                <w:sz w:val="24"/>
              </w:rPr>
            </w:pPr>
            <w:r>
              <w:rPr>
                <w:rFonts w:ascii="宋体" w:hAnsi="宋体" w:cs="宋体"/>
                <w:sz w:val="24"/>
              </w:rPr>
              <w:t>评标价最低的为评标基准价</w:t>
            </w:r>
            <w:r>
              <w:rPr>
                <w:rFonts w:hint="eastAsia" w:ascii="宋体" w:hAnsi="宋体" w:cs="宋体"/>
                <w:sz w:val="24"/>
              </w:rPr>
              <w:t>。</w:t>
            </w:r>
          </w:p>
          <w:p>
            <w:pPr>
              <w:numPr>
                <w:ilvl w:val="0"/>
                <w:numId w:val="4"/>
              </w:numPr>
              <w:spacing w:line="360" w:lineRule="auto"/>
              <w:rPr>
                <w:rFonts w:ascii="宋体" w:hAnsi="宋体" w:cs="宋体"/>
                <w:sz w:val="24"/>
              </w:rPr>
            </w:pPr>
            <w:r>
              <w:rPr>
                <w:rFonts w:ascii="宋体" w:hAnsi="宋体" w:cs="宋体"/>
                <w:sz w:val="24"/>
              </w:rPr>
              <w:t>投标报价得分计算:评标价为评标基准价的得满分10分</w:t>
            </w:r>
            <w:r>
              <w:rPr>
                <w:rFonts w:hint="eastAsia" w:ascii="宋体" w:hAnsi="宋体" w:cs="宋体"/>
                <w:sz w:val="24"/>
              </w:rPr>
              <w:t>，</w:t>
            </w:r>
            <w:r>
              <w:rPr>
                <w:rFonts w:ascii="宋体" w:hAnsi="宋体" w:cs="宋体"/>
                <w:sz w:val="24"/>
              </w:rPr>
              <w:t>其他投标人的投标报价得分统一按下列公式计算:投标报价得分=(评标基准价/评标价)* 10 (保留小数点后两位 第三位四舍五入)</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2038" w:type="dxa"/>
            <w:vAlign w:val="center"/>
          </w:tcPr>
          <w:p>
            <w:pPr>
              <w:spacing w:line="360" w:lineRule="auto"/>
              <w:jc w:val="center"/>
              <w:rPr>
                <w:rFonts w:ascii="宋体" w:hAnsi="宋体" w:cs="宋体"/>
                <w:sz w:val="24"/>
              </w:rPr>
            </w:pPr>
            <w:r>
              <w:rPr>
                <w:rFonts w:hint="eastAsia" w:ascii="宋体" w:hAnsi="宋体" w:cs="宋体"/>
                <w:sz w:val="24"/>
              </w:rPr>
              <w:t>投标人业绩    （</w:t>
            </w:r>
            <w:r>
              <w:rPr>
                <w:rFonts w:ascii="宋体" w:hAnsi="宋体" w:cs="宋体"/>
                <w:sz w:val="24"/>
              </w:rPr>
              <w:t>20</w:t>
            </w:r>
            <w:r>
              <w:rPr>
                <w:rFonts w:hint="eastAsia" w:ascii="宋体" w:hAnsi="宋体" w:cs="宋体"/>
                <w:sz w:val="24"/>
              </w:rPr>
              <w:t>分）</w:t>
            </w:r>
          </w:p>
        </w:tc>
        <w:tc>
          <w:tcPr>
            <w:tcW w:w="7661" w:type="dxa"/>
            <w:vAlign w:val="center"/>
          </w:tcPr>
          <w:p>
            <w:pPr>
              <w:numPr>
                <w:ilvl w:val="0"/>
                <w:numId w:val="5"/>
              </w:numPr>
              <w:spacing w:line="360" w:lineRule="auto"/>
              <w:rPr>
                <w:rFonts w:ascii="宋体" w:hAnsi="宋体" w:cs="宋体"/>
                <w:sz w:val="24"/>
              </w:rPr>
            </w:pPr>
            <w:r>
              <w:rPr>
                <w:rFonts w:hint="eastAsia" w:ascii="宋体" w:hAnsi="宋体" w:cs="宋体"/>
                <w:sz w:val="24"/>
              </w:rPr>
              <w:t>自201</w:t>
            </w:r>
            <w:r>
              <w:rPr>
                <w:rFonts w:ascii="宋体" w:hAnsi="宋体" w:cs="宋体"/>
                <w:sz w:val="24"/>
              </w:rPr>
              <w:t>8</w:t>
            </w:r>
            <w:r>
              <w:rPr>
                <w:rFonts w:hint="eastAsia" w:ascii="宋体" w:hAnsi="宋体" w:cs="宋体"/>
                <w:sz w:val="24"/>
              </w:rPr>
              <w:t>年1月1日以来（以合同签订日期为准），承担过地级及以上级别城市的机场综合交通枢纽规划项目，每个项目得</w:t>
            </w:r>
            <w:r>
              <w:rPr>
                <w:rFonts w:ascii="宋体" w:hAnsi="宋体" w:cs="宋体"/>
                <w:sz w:val="24"/>
              </w:rPr>
              <w:t>5</w:t>
            </w:r>
            <w:r>
              <w:rPr>
                <w:rFonts w:hint="eastAsia" w:ascii="宋体" w:hAnsi="宋体" w:cs="宋体"/>
                <w:sz w:val="24"/>
              </w:rPr>
              <w:t>分，最高得</w:t>
            </w:r>
            <w:r>
              <w:rPr>
                <w:rFonts w:ascii="宋体" w:hAnsi="宋体" w:cs="宋体"/>
                <w:sz w:val="24"/>
              </w:rPr>
              <w:t>5</w:t>
            </w:r>
            <w:r>
              <w:rPr>
                <w:rFonts w:hint="eastAsia" w:ascii="宋体" w:hAnsi="宋体" w:cs="宋体"/>
                <w:sz w:val="24"/>
              </w:rPr>
              <w:t>分；</w:t>
            </w:r>
          </w:p>
          <w:p>
            <w:pPr>
              <w:numPr>
                <w:ilvl w:val="0"/>
                <w:numId w:val="5"/>
              </w:numPr>
              <w:spacing w:line="360" w:lineRule="auto"/>
              <w:rPr>
                <w:rFonts w:ascii="宋体" w:hAnsi="宋体" w:cs="宋体"/>
                <w:sz w:val="24"/>
              </w:rPr>
            </w:pPr>
            <w:r>
              <w:rPr>
                <w:rFonts w:hint="eastAsia" w:ascii="宋体" w:hAnsi="宋体" w:cs="宋体"/>
                <w:sz w:val="24"/>
              </w:rPr>
              <w:t>自201</w:t>
            </w:r>
            <w:r>
              <w:rPr>
                <w:rFonts w:ascii="宋体" w:hAnsi="宋体" w:cs="宋体"/>
                <w:sz w:val="24"/>
              </w:rPr>
              <w:t>8</w:t>
            </w:r>
            <w:r>
              <w:rPr>
                <w:rFonts w:hint="eastAsia" w:ascii="宋体" w:hAnsi="宋体" w:cs="宋体"/>
                <w:sz w:val="24"/>
              </w:rPr>
              <w:t>年1月1日以来（以合同签订日期为准），承担过地级及以上级别城市的铁路枢纽综合交通详细规划项目，每个项目得</w:t>
            </w:r>
            <w:r>
              <w:rPr>
                <w:rFonts w:ascii="宋体" w:hAnsi="宋体" w:cs="宋体"/>
                <w:sz w:val="24"/>
              </w:rPr>
              <w:t>5</w:t>
            </w:r>
            <w:r>
              <w:rPr>
                <w:rFonts w:hint="eastAsia" w:ascii="宋体" w:hAnsi="宋体" w:cs="宋体"/>
                <w:sz w:val="24"/>
              </w:rPr>
              <w:t>分，最高得</w:t>
            </w:r>
            <w:r>
              <w:rPr>
                <w:rFonts w:ascii="宋体" w:hAnsi="宋体" w:cs="宋体"/>
                <w:sz w:val="24"/>
              </w:rPr>
              <w:t>5</w:t>
            </w:r>
            <w:r>
              <w:rPr>
                <w:rFonts w:hint="eastAsia" w:ascii="宋体" w:hAnsi="宋体" w:cs="宋体"/>
                <w:sz w:val="24"/>
              </w:rPr>
              <w:t>分；</w:t>
            </w:r>
          </w:p>
          <w:p>
            <w:pPr>
              <w:numPr>
                <w:ilvl w:val="0"/>
                <w:numId w:val="5"/>
              </w:numPr>
              <w:spacing w:line="360" w:lineRule="auto"/>
              <w:rPr>
                <w:rFonts w:ascii="宋体" w:hAnsi="宋体" w:cs="宋体"/>
                <w:sz w:val="24"/>
              </w:rPr>
            </w:pPr>
            <w:r>
              <w:rPr>
                <w:rFonts w:hint="eastAsia" w:ascii="宋体" w:hAnsi="宋体" w:cs="宋体"/>
                <w:sz w:val="24"/>
              </w:rPr>
              <w:t>自201</w:t>
            </w:r>
            <w:r>
              <w:rPr>
                <w:rFonts w:ascii="宋体" w:hAnsi="宋体" w:cs="宋体"/>
                <w:sz w:val="24"/>
              </w:rPr>
              <w:t>8</w:t>
            </w:r>
            <w:r>
              <w:rPr>
                <w:rFonts w:hint="eastAsia" w:ascii="宋体" w:hAnsi="宋体" w:cs="宋体"/>
                <w:sz w:val="24"/>
              </w:rPr>
              <w:t>年1月1日以来（以合同签订日期为准），承担过国土空间总体规划项目，每个得</w:t>
            </w:r>
            <w:r>
              <w:rPr>
                <w:rFonts w:ascii="宋体" w:hAnsi="宋体" w:cs="宋体"/>
                <w:sz w:val="24"/>
              </w:rPr>
              <w:t>5</w:t>
            </w:r>
            <w:r>
              <w:rPr>
                <w:rFonts w:hint="eastAsia" w:ascii="宋体" w:hAnsi="宋体" w:cs="宋体"/>
                <w:sz w:val="24"/>
              </w:rPr>
              <w:t>分</w:t>
            </w:r>
            <w:r>
              <w:rPr>
                <w:rFonts w:ascii="宋体" w:hAnsi="宋体" w:cs="宋体"/>
                <w:sz w:val="24"/>
              </w:rPr>
              <w:t>，</w:t>
            </w:r>
            <w:r>
              <w:rPr>
                <w:rFonts w:hint="eastAsia" w:ascii="宋体" w:hAnsi="宋体" w:cs="宋体"/>
                <w:sz w:val="24"/>
              </w:rPr>
              <w:t>满分</w:t>
            </w:r>
            <w:r>
              <w:rPr>
                <w:rFonts w:ascii="宋体" w:hAnsi="宋体" w:cs="宋体"/>
                <w:sz w:val="24"/>
              </w:rPr>
              <w:t>5</w:t>
            </w:r>
            <w:r>
              <w:rPr>
                <w:rFonts w:hint="eastAsia" w:ascii="宋体" w:hAnsi="宋体" w:cs="宋体"/>
                <w:sz w:val="24"/>
              </w:rPr>
              <w:t>分；</w:t>
            </w:r>
          </w:p>
          <w:p>
            <w:pPr>
              <w:numPr>
                <w:ilvl w:val="0"/>
                <w:numId w:val="5"/>
              </w:numPr>
              <w:spacing w:line="360" w:lineRule="auto"/>
              <w:rPr>
                <w:rFonts w:ascii="宋体" w:hAnsi="宋体" w:cs="宋体"/>
                <w:sz w:val="24"/>
              </w:rPr>
            </w:pPr>
            <w:r>
              <w:rPr>
                <w:rFonts w:hint="eastAsia" w:ascii="宋体" w:hAnsi="宋体" w:cs="宋体"/>
                <w:sz w:val="24"/>
              </w:rPr>
              <w:t>自201</w:t>
            </w:r>
            <w:r>
              <w:rPr>
                <w:rFonts w:ascii="宋体" w:hAnsi="宋体" w:cs="宋体"/>
                <w:sz w:val="24"/>
              </w:rPr>
              <w:t>8</w:t>
            </w:r>
            <w:r>
              <w:rPr>
                <w:rFonts w:hint="eastAsia" w:ascii="宋体" w:hAnsi="宋体" w:cs="宋体"/>
                <w:sz w:val="24"/>
              </w:rPr>
              <w:t>年1月1日以来（以合同签订日期为准），承担过地级及以上级别城市的总体城市设计项目的，每个项目得</w:t>
            </w:r>
            <w:r>
              <w:rPr>
                <w:rFonts w:ascii="宋体" w:hAnsi="宋体" w:cs="宋体"/>
                <w:sz w:val="24"/>
              </w:rPr>
              <w:t>5</w:t>
            </w:r>
            <w:r>
              <w:rPr>
                <w:rFonts w:hint="eastAsia" w:ascii="宋体" w:hAnsi="宋体" w:cs="宋体"/>
                <w:sz w:val="24"/>
              </w:rPr>
              <w:t>分，最高得</w:t>
            </w:r>
            <w:r>
              <w:rPr>
                <w:rFonts w:ascii="宋体" w:hAnsi="宋体" w:cs="宋体"/>
                <w:sz w:val="24"/>
              </w:rPr>
              <w:t>5</w:t>
            </w:r>
            <w:r>
              <w:rPr>
                <w:rFonts w:hint="eastAsia" w:ascii="宋体" w:hAnsi="宋体" w:cs="宋体"/>
                <w:sz w:val="24"/>
              </w:rPr>
              <w:t>分。</w:t>
            </w:r>
          </w:p>
          <w:p>
            <w:pPr>
              <w:spacing w:line="360" w:lineRule="auto"/>
              <w:rPr>
                <w:rFonts w:ascii="宋体" w:hAnsi="宋体" w:cs="宋体"/>
                <w:b/>
                <w:bCs/>
                <w:sz w:val="24"/>
              </w:rPr>
            </w:pPr>
            <w:r>
              <w:rPr>
                <w:rFonts w:hint="eastAsia" w:ascii="宋体" w:hAnsi="宋体" w:cs="宋体"/>
                <w:b/>
                <w:bCs/>
                <w:sz w:val="24"/>
              </w:rPr>
              <w:t>注：（1）投标供应商须提供业绩合同复印件加盖投标单位公章放入投标文件中，如合同无法体现项目内容、签订时间、单位名称的，须另附业主相关证明材料的复印件或扫描件加盖投标单位公章放入投标文件中，否则磋商小组不予认可。</w:t>
            </w:r>
          </w:p>
          <w:p>
            <w:pPr>
              <w:spacing w:line="360" w:lineRule="auto"/>
              <w:rPr>
                <w:rFonts w:ascii="宋体" w:hAnsi="宋体" w:cs="宋体"/>
                <w:b/>
                <w:bCs/>
                <w:sz w:val="24"/>
              </w:rPr>
            </w:pPr>
            <w:r>
              <w:rPr>
                <w:rFonts w:hint="eastAsia" w:ascii="宋体" w:hAnsi="宋体" w:cs="宋体"/>
                <w:b/>
                <w:bCs/>
                <w:sz w:val="24"/>
              </w:rPr>
              <w:t>（2）投标人提供的业绩数量超过业绩满分要求的业绩数量时，按照投标人提供的业绩列表顺序进行评审，无论是否符合要求， 超过业绩满分要求的业绩数量之后的业绩不再进行评审。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38" w:type="dxa"/>
            <w:vAlign w:val="center"/>
          </w:tcPr>
          <w:p>
            <w:pPr>
              <w:spacing w:line="360" w:lineRule="auto"/>
              <w:jc w:val="center"/>
              <w:rPr>
                <w:rFonts w:ascii="宋体" w:hAnsi="宋体" w:cs="宋体"/>
                <w:sz w:val="24"/>
              </w:rPr>
            </w:pPr>
            <w:r>
              <w:rPr>
                <w:rFonts w:hint="eastAsia" w:ascii="宋体" w:hAnsi="宋体" w:cs="宋体"/>
                <w:sz w:val="24"/>
              </w:rPr>
              <w:t>投标人获奖情况（10分）</w:t>
            </w:r>
          </w:p>
          <w:p>
            <w:pPr>
              <w:spacing w:line="360" w:lineRule="auto"/>
              <w:rPr>
                <w:rFonts w:ascii="宋体" w:hAnsi="宋体" w:cs="宋体"/>
                <w:sz w:val="24"/>
              </w:rPr>
            </w:pPr>
          </w:p>
        </w:tc>
        <w:tc>
          <w:tcPr>
            <w:tcW w:w="7661" w:type="dxa"/>
            <w:vAlign w:val="center"/>
          </w:tcPr>
          <w:p>
            <w:pPr>
              <w:spacing w:line="360" w:lineRule="auto"/>
              <w:rPr>
                <w:rFonts w:ascii="宋体" w:hAnsi="宋体" w:cs="宋体"/>
                <w:sz w:val="24"/>
              </w:rPr>
            </w:pPr>
            <w:r>
              <w:rPr>
                <w:rFonts w:hint="eastAsia" w:ascii="宋体" w:hAnsi="宋体" w:cs="宋体"/>
                <w:sz w:val="24"/>
              </w:rPr>
              <w:t>自201</w:t>
            </w:r>
            <w:r>
              <w:rPr>
                <w:rFonts w:ascii="宋体" w:hAnsi="宋体" w:cs="宋体"/>
                <w:sz w:val="24"/>
              </w:rPr>
              <w:t>6</w:t>
            </w:r>
            <w:r>
              <w:rPr>
                <w:rFonts w:hint="eastAsia" w:ascii="宋体" w:hAnsi="宋体" w:cs="宋体"/>
                <w:sz w:val="24"/>
              </w:rPr>
              <w:t>年1月1日以来（以获奖证书颁发时间为准），投标供应商获得下列奖项荣誉：</w:t>
            </w:r>
          </w:p>
          <w:p>
            <w:pPr>
              <w:spacing w:line="360" w:lineRule="auto"/>
              <w:rPr>
                <w:rFonts w:ascii="宋体" w:hAnsi="宋体" w:cs="宋体"/>
                <w:sz w:val="24"/>
              </w:rPr>
            </w:pPr>
            <w:r>
              <w:rPr>
                <w:rFonts w:hint="eastAsia" w:ascii="宋体" w:hAnsi="宋体" w:cs="宋体"/>
                <w:sz w:val="24"/>
              </w:rPr>
              <w:t>1、国家级优秀城乡规划设计奖一等奖，每个奖项荣誉得3分；</w:t>
            </w:r>
          </w:p>
          <w:p>
            <w:pPr>
              <w:spacing w:line="360" w:lineRule="auto"/>
              <w:rPr>
                <w:rFonts w:ascii="宋体" w:hAnsi="宋体" w:cs="宋体"/>
                <w:sz w:val="24"/>
              </w:rPr>
            </w:pPr>
            <w:r>
              <w:rPr>
                <w:rFonts w:hint="eastAsia" w:ascii="宋体" w:hAnsi="宋体" w:cs="宋体"/>
                <w:sz w:val="24"/>
              </w:rPr>
              <w:t>2、国家级优秀城乡规划设计奖二等奖，每个奖项荣誉得2分，最高4分；</w:t>
            </w:r>
          </w:p>
          <w:p>
            <w:pPr>
              <w:spacing w:line="360" w:lineRule="auto"/>
              <w:rPr>
                <w:rFonts w:ascii="宋体" w:hAnsi="宋体" w:cs="宋体"/>
                <w:sz w:val="24"/>
              </w:rPr>
            </w:pPr>
            <w:r>
              <w:rPr>
                <w:rFonts w:hint="eastAsia" w:ascii="宋体" w:hAnsi="宋体" w:cs="宋体"/>
                <w:sz w:val="24"/>
              </w:rPr>
              <w:t>3、国家级优秀城乡规划设计奖三等奖，每个奖项荣誉得1分，最高2分。</w:t>
            </w:r>
          </w:p>
          <w:p>
            <w:pPr>
              <w:spacing w:line="360" w:lineRule="auto"/>
              <w:rPr>
                <w:rFonts w:hint="default" w:ascii="宋体" w:hAnsi="宋体" w:cs="宋体" w:eastAsiaTheme="minorEastAsia"/>
                <w:b/>
                <w:bCs/>
                <w:sz w:val="24"/>
                <w:lang w:val="en-US" w:eastAsia="zh-CN"/>
              </w:rPr>
            </w:pPr>
            <w:r>
              <w:rPr>
                <w:rFonts w:hint="eastAsia" w:ascii="宋体" w:hAnsi="宋体" w:cs="宋体"/>
                <w:b/>
                <w:bCs/>
                <w:sz w:val="24"/>
              </w:rPr>
              <w:t>注：（1）</w:t>
            </w:r>
            <w:r>
              <w:rPr>
                <w:rFonts w:hint="eastAsia" w:ascii="宋体" w:hAnsi="宋体" w:cs="宋体"/>
                <w:b/>
                <w:bCs/>
                <w:sz w:val="24"/>
                <w:highlight w:val="none"/>
                <w:lang w:val="en-US" w:eastAsia="zh-CN"/>
              </w:rPr>
              <w:t>以上累计最高得分10分，</w:t>
            </w:r>
            <w:r>
              <w:rPr>
                <w:rFonts w:hint="eastAsia" w:ascii="宋体" w:hAnsi="宋体" w:cs="宋体"/>
                <w:b/>
                <w:bCs/>
                <w:sz w:val="24"/>
              </w:rPr>
              <w:t>同一项目按最高级别奖项计分，不重复计分。</w:t>
            </w:r>
          </w:p>
          <w:p>
            <w:pPr>
              <w:spacing w:line="360" w:lineRule="auto"/>
              <w:rPr>
                <w:rFonts w:ascii="宋体" w:hAnsi="宋体" w:cs="宋体"/>
                <w:b/>
                <w:bCs/>
                <w:sz w:val="24"/>
              </w:rPr>
            </w:pPr>
            <w:r>
              <w:rPr>
                <w:rFonts w:hint="eastAsia" w:ascii="宋体" w:hAnsi="宋体" w:cs="宋体"/>
                <w:b/>
                <w:bCs/>
                <w:sz w:val="24"/>
              </w:rPr>
              <w:t>（2）“国家级”仅指中国城市规划学（协）会颁发的“全国优秀城乡规划设计奖（城市规划类）”。</w:t>
            </w:r>
          </w:p>
          <w:p>
            <w:pPr>
              <w:spacing w:line="360" w:lineRule="auto"/>
              <w:rPr>
                <w:rFonts w:ascii="宋体" w:hAnsi="宋体" w:cs="宋体"/>
                <w:sz w:val="24"/>
              </w:rPr>
            </w:pPr>
            <w:r>
              <w:rPr>
                <w:rFonts w:hint="eastAsia" w:ascii="宋体" w:hAnsi="宋体" w:cs="宋体"/>
                <w:b/>
                <w:bCs/>
                <w:sz w:val="24"/>
              </w:rPr>
              <w:t>（3）获奖时间以获奖证书颁发时间为准,投标文件中须提供获奖证书、批复、颁奖单位颁奖文件（具有其中之一且具有证明力的）证明材料的复印件或扫描件加盖投标单位公章放入投标文件中，须能体现出投标供应商名称、获奖时间、奖项级别等，如无法体现，须另附颁奖单位的相关证明材料的复印件或扫描件加盖投标单位公章放入投标文件中，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38" w:type="dxa"/>
            <w:vAlign w:val="center"/>
          </w:tcPr>
          <w:p>
            <w:pPr>
              <w:spacing w:line="360" w:lineRule="auto"/>
              <w:jc w:val="center"/>
              <w:rPr>
                <w:rFonts w:ascii="宋体" w:hAnsi="宋体" w:cs="宋体"/>
                <w:sz w:val="24"/>
              </w:rPr>
            </w:pPr>
            <w:r>
              <w:rPr>
                <w:rFonts w:hint="eastAsia" w:ascii="宋体" w:hAnsi="宋体" w:cs="宋体"/>
                <w:sz w:val="24"/>
              </w:rPr>
              <w:t>项目负责人业绩    （</w:t>
            </w:r>
            <w:r>
              <w:rPr>
                <w:rFonts w:ascii="宋体" w:hAnsi="宋体" w:cs="宋体"/>
                <w:sz w:val="24"/>
              </w:rPr>
              <w:t>14</w:t>
            </w:r>
            <w:r>
              <w:rPr>
                <w:rFonts w:hint="eastAsia" w:ascii="宋体" w:hAnsi="宋体" w:cs="宋体"/>
                <w:sz w:val="24"/>
              </w:rPr>
              <w:t>分）</w:t>
            </w:r>
          </w:p>
        </w:tc>
        <w:tc>
          <w:tcPr>
            <w:tcW w:w="7661" w:type="dxa"/>
            <w:vAlign w:val="center"/>
          </w:tcPr>
          <w:p>
            <w:pPr>
              <w:spacing w:line="360" w:lineRule="auto"/>
              <w:rPr>
                <w:rFonts w:ascii="宋体" w:hAnsi="宋体" w:cs="宋体"/>
                <w:sz w:val="24"/>
              </w:rPr>
            </w:pPr>
            <w:r>
              <w:rPr>
                <w:rFonts w:hint="eastAsia" w:ascii="宋体" w:hAnsi="宋体" w:cs="宋体"/>
                <w:sz w:val="24"/>
              </w:rPr>
              <w:t>1、自201</w:t>
            </w:r>
            <w:r>
              <w:rPr>
                <w:rFonts w:ascii="宋体" w:hAnsi="宋体" w:cs="宋体"/>
                <w:sz w:val="24"/>
              </w:rPr>
              <w:t>8</w:t>
            </w:r>
            <w:r>
              <w:rPr>
                <w:rFonts w:hint="eastAsia" w:ascii="宋体" w:hAnsi="宋体" w:cs="宋体"/>
                <w:sz w:val="24"/>
              </w:rPr>
              <w:t>年1月1日以来（以合同签订日期为准），项目负责人具有地级及以上城市的综合交通规划业绩，每个业绩合同得</w:t>
            </w:r>
            <w:r>
              <w:rPr>
                <w:rFonts w:ascii="宋体" w:hAnsi="宋体" w:cs="宋体"/>
                <w:sz w:val="24"/>
              </w:rPr>
              <w:t>3</w:t>
            </w:r>
            <w:r>
              <w:rPr>
                <w:rFonts w:hint="eastAsia" w:ascii="宋体" w:hAnsi="宋体" w:cs="宋体"/>
                <w:sz w:val="24"/>
              </w:rPr>
              <w:t>分，最高得</w:t>
            </w:r>
            <w:r>
              <w:rPr>
                <w:rFonts w:ascii="宋体" w:hAnsi="宋体" w:cs="宋体"/>
                <w:sz w:val="24"/>
              </w:rPr>
              <w:t>3</w:t>
            </w:r>
            <w:bookmarkStart w:id="46" w:name="_GoBack"/>
            <w:bookmarkEnd w:id="46"/>
            <w:r>
              <w:rPr>
                <w:rFonts w:hint="eastAsia" w:ascii="宋体" w:hAnsi="宋体" w:cs="宋体"/>
                <w:sz w:val="24"/>
              </w:rPr>
              <w:t>分；</w:t>
            </w:r>
          </w:p>
          <w:p>
            <w:pPr>
              <w:spacing w:line="360" w:lineRule="auto"/>
              <w:rPr>
                <w:rFonts w:ascii="宋体" w:hAnsi="宋体" w:cs="宋体"/>
                <w:sz w:val="24"/>
              </w:rPr>
            </w:pPr>
            <w:r>
              <w:rPr>
                <w:rFonts w:hint="eastAsia" w:ascii="宋体" w:hAnsi="宋体" w:cs="宋体"/>
                <w:sz w:val="24"/>
              </w:rPr>
              <w:t>2、自201</w:t>
            </w:r>
            <w:r>
              <w:rPr>
                <w:rFonts w:ascii="宋体" w:hAnsi="宋体" w:cs="宋体"/>
                <w:sz w:val="24"/>
              </w:rPr>
              <w:t>8</w:t>
            </w:r>
            <w:r>
              <w:rPr>
                <w:rFonts w:hint="eastAsia" w:ascii="宋体" w:hAnsi="宋体" w:cs="宋体"/>
                <w:sz w:val="24"/>
              </w:rPr>
              <w:t>年1月1日以来（以合同签订日期为准），项目负责人具有地级及以上级别城市的机场或火车站枢纽交通规划编制业绩，每个业绩合同得</w:t>
            </w:r>
            <w:r>
              <w:rPr>
                <w:rFonts w:ascii="宋体" w:hAnsi="宋体" w:cs="宋体"/>
                <w:sz w:val="24"/>
              </w:rPr>
              <w:t>2</w:t>
            </w:r>
            <w:r>
              <w:rPr>
                <w:rFonts w:hint="eastAsia" w:ascii="宋体" w:hAnsi="宋体" w:cs="宋体"/>
                <w:sz w:val="24"/>
              </w:rPr>
              <w:t>分，最高得</w:t>
            </w:r>
            <w:r>
              <w:rPr>
                <w:rFonts w:ascii="宋体" w:hAnsi="宋体" w:cs="宋体"/>
                <w:sz w:val="24"/>
              </w:rPr>
              <w:t>4</w:t>
            </w:r>
            <w:r>
              <w:rPr>
                <w:rFonts w:hint="eastAsia" w:ascii="宋体" w:hAnsi="宋体" w:cs="宋体"/>
                <w:sz w:val="24"/>
              </w:rPr>
              <w:t>分；</w:t>
            </w:r>
          </w:p>
          <w:p>
            <w:pPr>
              <w:spacing w:line="360" w:lineRule="auto"/>
              <w:rPr>
                <w:rFonts w:ascii="宋体" w:hAnsi="宋体" w:cs="宋体"/>
                <w:sz w:val="24"/>
              </w:rPr>
            </w:pPr>
            <w:r>
              <w:rPr>
                <w:rFonts w:ascii="宋体" w:hAnsi="宋体" w:cs="宋体"/>
                <w:sz w:val="24"/>
              </w:rPr>
              <w:t>3</w:t>
            </w:r>
            <w:r>
              <w:rPr>
                <w:rFonts w:hint="eastAsia" w:ascii="宋体" w:hAnsi="宋体" w:cs="宋体"/>
                <w:sz w:val="24"/>
              </w:rPr>
              <w:t>、自201</w:t>
            </w:r>
            <w:r>
              <w:rPr>
                <w:rFonts w:ascii="宋体" w:hAnsi="宋体" w:cs="宋体"/>
                <w:sz w:val="24"/>
              </w:rPr>
              <w:t>8</w:t>
            </w:r>
            <w:r>
              <w:rPr>
                <w:rFonts w:hint="eastAsia" w:ascii="宋体" w:hAnsi="宋体" w:cs="宋体"/>
                <w:sz w:val="24"/>
              </w:rPr>
              <w:t>年1月1日以来（以合同签订日期为准），项目负责人具有城市重要片区（机场片区、火车站片区、老城区等）综合交通规划或交通升级规划项目业绩</w:t>
            </w:r>
            <w:r>
              <w:rPr>
                <w:rFonts w:ascii="宋体" w:hAnsi="宋体" w:cs="宋体"/>
                <w:sz w:val="24"/>
              </w:rPr>
              <w:t>，</w:t>
            </w:r>
            <w:r>
              <w:rPr>
                <w:rFonts w:hint="eastAsia" w:ascii="宋体" w:hAnsi="宋体" w:cs="宋体"/>
                <w:sz w:val="24"/>
              </w:rPr>
              <w:t>每个业绩合同得</w:t>
            </w:r>
            <w:r>
              <w:rPr>
                <w:rFonts w:ascii="宋体" w:hAnsi="宋体" w:cs="宋体"/>
                <w:sz w:val="24"/>
              </w:rPr>
              <w:t>2</w:t>
            </w:r>
            <w:r>
              <w:rPr>
                <w:rFonts w:hint="eastAsia" w:ascii="宋体" w:hAnsi="宋体" w:cs="宋体"/>
                <w:sz w:val="24"/>
              </w:rPr>
              <w:t>分，最高得</w:t>
            </w:r>
            <w:r>
              <w:rPr>
                <w:rFonts w:ascii="宋体" w:hAnsi="宋体" w:cs="宋体"/>
                <w:sz w:val="24"/>
              </w:rPr>
              <w:t>4</w:t>
            </w:r>
            <w:r>
              <w:rPr>
                <w:rFonts w:hint="eastAsia" w:ascii="宋体" w:hAnsi="宋体" w:cs="宋体"/>
                <w:sz w:val="24"/>
              </w:rPr>
              <w:t>分；</w:t>
            </w:r>
          </w:p>
          <w:p>
            <w:pPr>
              <w:spacing w:line="360" w:lineRule="auto"/>
              <w:rPr>
                <w:rFonts w:ascii="宋体" w:hAnsi="宋体" w:cs="宋体"/>
                <w:sz w:val="24"/>
              </w:rPr>
            </w:pPr>
            <w:r>
              <w:rPr>
                <w:rFonts w:ascii="宋体" w:hAnsi="宋体" w:cs="宋体"/>
                <w:sz w:val="24"/>
              </w:rPr>
              <w:t>4</w:t>
            </w:r>
            <w:r>
              <w:rPr>
                <w:rFonts w:hint="eastAsia" w:ascii="宋体" w:hAnsi="宋体" w:cs="宋体"/>
                <w:sz w:val="24"/>
              </w:rPr>
              <w:t>、自201</w:t>
            </w:r>
            <w:r>
              <w:rPr>
                <w:rFonts w:ascii="宋体" w:hAnsi="宋体" w:cs="宋体"/>
                <w:sz w:val="24"/>
              </w:rPr>
              <w:t>8</w:t>
            </w:r>
            <w:r>
              <w:rPr>
                <w:rFonts w:hint="eastAsia" w:ascii="宋体" w:hAnsi="宋体" w:cs="宋体"/>
                <w:sz w:val="24"/>
              </w:rPr>
              <w:t>年1月1日以来（以合同签订日期为准），项目负责人具有机场地区或</w:t>
            </w:r>
            <w:r>
              <w:rPr>
                <w:rFonts w:ascii="宋体" w:hAnsi="宋体" w:cs="宋体"/>
                <w:sz w:val="24"/>
              </w:rPr>
              <w:t>轨道交通</w:t>
            </w:r>
            <w:r>
              <w:rPr>
                <w:rFonts w:hint="eastAsia" w:ascii="宋体" w:hAnsi="宋体" w:cs="宋体"/>
                <w:sz w:val="24"/>
              </w:rPr>
              <w:t>沿线地区土地利用综合规划项目业绩</w:t>
            </w:r>
            <w:r>
              <w:rPr>
                <w:rFonts w:ascii="宋体" w:hAnsi="宋体" w:cs="宋体"/>
                <w:sz w:val="24"/>
              </w:rPr>
              <w:t>，</w:t>
            </w:r>
            <w:r>
              <w:rPr>
                <w:rFonts w:hint="eastAsia" w:ascii="宋体" w:hAnsi="宋体" w:cs="宋体"/>
                <w:sz w:val="24"/>
              </w:rPr>
              <w:t>每个业绩合同得</w:t>
            </w:r>
            <w:r>
              <w:rPr>
                <w:rFonts w:ascii="宋体" w:hAnsi="宋体" w:cs="宋体"/>
                <w:sz w:val="24"/>
              </w:rPr>
              <w:t>3</w:t>
            </w:r>
            <w:r>
              <w:rPr>
                <w:rFonts w:hint="eastAsia" w:ascii="宋体" w:hAnsi="宋体" w:cs="宋体"/>
                <w:sz w:val="24"/>
              </w:rPr>
              <w:t>分，最高得</w:t>
            </w:r>
            <w:r>
              <w:rPr>
                <w:rFonts w:ascii="宋体" w:hAnsi="宋体" w:cs="宋体"/>
                <w:sz w:val="24"/>
              </w:rPr>
              <w:t>3</w:t>
            </w:r>
            <w:r>
              <w:rPr>
                <w:rFonts w:hint="eastAsia" w:ascii="宋体" w:hAnsi="宋体" w:cs="宋体"/>
                <w:sz w:val="24"/>
              </w:rPr>
              <w:t>分。</w:t>
            </w:r>
          </w:p>
          <w:p>
            <w:pPr>
              <w:spacing w:line="360" w:lineRule="auto"/>
              <w:rPr>
                <w:rFonts w:ascii="宋体" w:hAnsi="宋体" w:cs="宋体"/>
                <w:b/>
                <w:bCs/>
                <w:sz w:val="24"/>
              </w:rPr>
            </w:pPr>
            <w:r>
              <w:rPr>
                <w:rFonts w:hint="eastAsia" w:ascii="宋体" w:hAnsi="宋体" w:cs="宋体"/>
                <w:b/>
                <w:bCs/>
                <w:sz w:val="24"/>
              </w:rPr>
              <w:t>注：（1）投标人提供业绩合同复印件或扫描件加盖投标单位公章放入投标文件中，如合同无法体现项目内容、签订时间、单位名称、项目负责人名字的，须另附业主相关证明材料复印件或扫描件加盖投标单位公章放入投标文件中，否则磋商小组不予认可。</w:t>
            </w:r>
          </w:p>
          <w:p>
            <w:pPr>
              <w:spacing w:line="360" w:lineRule="auto"/>
              <w:rPr>
                <w:rFonts w:ascii="宋体" w:hAnsi="宋体" w:cs="宋体"/>
                <w:b/>
                <w:bCs/>
                <w:sz w:val="24"/>
              </w:rPr>
            </w:pPr>
            <w:r>
              <w:rPr>
                <w:rFonts w:hint="eastAsia" w:ascii="宋体" w:hAnsi="宋体" w:cs="宋体"/>
                <w:b/>
                <w:bCs/>
                <w:sz w:val="24"/>
              </w:rPr>
              <w:t>（2）项目负责人业绩与企业业绩可重复计分。</w:t>
            </w:r>
          </w:p>
          <w:p>
            <w:pPr>
              <w:spacing w:line="360" w:lineRule="auto"/>
              <w:rPr>
                <w:rFonts w:ascii="宋体" w:hAnsi="宋体" w:cs="宋体"/>
                <w:b/>
                <w:bCs/>
                <w:sz w:val="24"/>
              </w:rPr>
            </w:pPr>
            <w:r>
              <w:rPr>
                <w:rFonts w:hint="eastAsia" w:ascii="宋体" w:hAnsi="宋体" w:cs="宋体"/>
                <w:b/>
                <w:bCs/>
                <w:sz w:val="24"/>
              </w:rPr>
              <w:t>（3）投标人须提供项目负责人近期（20</w:t>
            </w:r>
            <w:r>
              <w:rPr>
                <w:rFonts w:ascii="宋体" w:hAnsi="宋体" w:cs="宋体"/>
                <w:b/>
                <w:bCs/>
                <w:sz w:val="24"/>
              </w:rPr>
              <w:t>20</w:t>
            </w:r>
            <w:r>
              <w:rPr>
                <w:rFonts w:hint="eastAsia" w:ascii="宋体" w:hAnsi="宋体" w:cs="宋体"/>
                <w:b/>
                <w:bCs/>
                <w:sz w:val="24"/>
              </w:rPr>
              <w:t>年</w:t>
            </w:r>
            <w:r>
              <w:rPr>
                <w:rFonts w:ascii="宋体" w:hAnsi="宋体" w:cs="宋体"/>
                <w:b/>
                <w:bCs/>
                <w:sz w:val="24"/>
              </w:rPr>
              <w:t>10</w:t>
            </w:r>
            <w:r>
              <w:rPr>
                <w:rFonts w:hint="eastAsia" w:ascii="宋体" w:hAnsi="宋体" w:cs="宋体"/>
                <w:b/>
                <w:bCs/>
                <w:sz w:val="24"/>
              </w:rPr>
              <w:t>月-20</w:t>
            </w:r>
            <w:r>
              <w:rPr>
                <w:rFonts w:ascii="宋体" w:hAnsi="宋体" w:cs="宋体"/>
                <w:b/>
                <w:bCs/>
                <w:sz w:val="24"/>
              </w:rPr>
              <w:t>21</w:t>
            </w:r>
            <w:r>
              <w:rPr>
                <w:rFonts w:hint="eastAsia" w:ascii="宋体" w:hAnsi="宋体" w:cs="宋体"/>
                <w:b/>
                <w:bCs/>
                <w:sz w:val="24"/>
              </w:rPr>
              <w:t>年</w:t>
            </w:r>
            <w:r>
              <w:rPr>
                <w:rFonts w:ascii="宋体" w:hAnsi="宋体" w:cs="宋体"/>
                <w:b/>
                <w:bCs/>
                <w:sz w:val="24"/>
              </w:rPr>
              <w:t>3</w:t>
            </w:r>
            <w:r>
              <w:rPr>
                <w:rFonts w:hint="eastAsia" w:ascii="宋体" w:hAnsi="宋体" w:cs="宋体"/>
                <w:b/>
                <w:bCs/>
                <w:sz w:val="24"/>
              </w:rPr>
              <w:t>月）中连续三个月的社保缴费凭证，社保缴纳的单位名称必须与投标单位的名称保持一致，个人缴纳社保记录不作为公司人员社保缴纳凭证（若项目负责人为大专院校教师，其社保证明可以用加盖投标单位公章的教师资格证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2038" w:type="dxa"/>
            <w:vAlign w:val="center"/>
          </w:tcPr>
          <w:p>
            <w:pPr>
              <w:spacing w:line="360" w:lineRule="auto"/>
              <w:jc w:val="center"/>
              <w:rPr>
                <w:rFonts w:ascii="宋体" w:hAnsi="宋体" w:cs="宋体"/>
              </w:rPr>
            </w:pPr>
            <w:r>
              <w:rPr>
                <w:rFonts w:hint="eastAsia" w:ascii="宋体" w:hAnsi="宋体" w:cs="宋体"/>
                <w:sz w:val="24"/>
              </w:rPr>
              <w:t>项目组成员    （</w:t>
            </w:r>
            <w:r>
              <w:rPr>
                <w:rFonts w:ascii="宋体" w:hAnsi="宋体" w:cs="宋体"/>
                <w:sz w:val="24"/>
              </w:rPr>
              <w:t>6</w:t>
            </w:r>
            <w:r>
              <w:rPr>
                <w:rFonts w:hint="eastAsia" w:ascii="宋体" w:hAnsi="宋体" w:cs="宋体"/>
                <w:sz w:val="24"/>
              </w:rPr>
              <w:t>分）</w:t>
            </w:r>
          </w:p>
        </w:tc>
        <w:tc>
          <w:tcPr>
            <w:tcW w:w="7661" w:type="dxa"/>
            <w:vAlign w:val="center"/>
          </w:tcPr>
          <w:p>
            <w:pPr>
              <w:spacing w:line="400" w:lineRule="exact"/>
              <w:rPr>
                <w:rFonts w:ascii="宋体" w:hAnsi="宋体" w:cs="宋体"/>
                <w:sz w:val="24"/>
              </w:rPr>
            </w:pPr>
            <w:r>
              <w:rPr>
                <w:rFonts w:hint="eastAsia" w:ascii="宋体" w:hAnsi="宋体" w:cs="宋体"/>
                <w:sz w:val="24"/>
              </w:rPr>
              <w:t>项目组成员（不含项目负责人）不少于</w:t>
            </w:r>
            <w:r>
              <w:rPr>
                <w:rFonts w:ascii="宋体" w:hAnsi="宋体" w:cs="宋体"/>
                <w:sz w:val="24"/>
              </w:rPr>
              <w:t>9</w:t>
            </w:r>
            <w:r>
              <w:rPr>
                <w:rFonts w:hint="eastAsia" w:ascii="宋体" w:hAnsi="宋体" w:cs="宋体"/>
                <w:sz w:val="24"/>
              </w:rPr>
              <w:t>人，其中：注册城市（乡）规划师不得少于</w:t>
            </w:r>
            <w:r>
              <w:rPr>
                <w:rFonts w:ascii="宋体" w:hAnsi="宋体" w:cs="宋体"/>
                <w:sz w:val="24"/>
              </w:rPr>
              <w:t>3</w:t>
            </w:r>
            <w:r>
              <w:rPr>
                <w:rFonts w:hint="eastAsia" w:ascii="宋体" w:hAnsi="宋体" w:cs="宋体"/>
                <w:sz w:val="24"/>
              </w:rPr>
              <w:t>人，满足上述条件得基本分4分，否则不得分。注册城市（乡）规划师每增加一人加1分，加满2分为止。</w:t>
            </w:r>
          </w:p>
          <w:p>
            <w:pPr>
              <w:pStyle w:val="89"/>
              <w:spacing w:line="44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rPr>
              <w:t>（1）投标人须提供注册证书的复印件或扫描件加盖投标单位公章放入投标文件中；</w:t>
            </w:r>
          </w:p>
          <w:p>
            <w:pPr>
              <w:pStyle w:val="89"/>
              <w:spacing w:line="440" w:lineRule="exact"/>
              <w:rPr>
                <w:rFonts w:ascii="宋体" w:hAnsi="宋体" w:cs="宋体"/>
                <w:b/>
                <w:bCs/>
              </w:rPr>
            </w:pPr>
            <w:r>
              <w:rPr>
                <w:rFonts w:hint="eastAsia" w:asciiTheme="minorEastAsia" w:hAnsiTheme="minorEastAsia" w:eastAsiaTheme="minorEastAsia" w:cstheme="minorEastAsia"/>
                <w:b/>
              </w:rPr>
              <w:t>（2）投标人须提供项目组成员2</w:t>
            </w:r>
            <w:r>
              <w:rPr>
                <w:rFonts w:asciiTheme="minorEastAsia" w:hAnsiTheme="minorEastAsia" w:eastAsiaTheme="minorEastAsia" w:cstheme="minorEastAsia"/>
                <w:b/>
              </w:rPr>
              <w:t>020</w:t>
            </w:r>
            <w:r>
              <w:rPr>
                <w:rFonts w:hint="eastAsia" w:asciiTheme="minorEastAsia" w:hAnsiTheme="minorEastAsia" w:eastAsiaTheme="minorEastAsia" w:cstheme="minorEastAsia"/>
                <w:b/>
              </w:rPr>
              <w:t>年6月（含）以来连续三个月的社保缴费凭证，社保缴纳的单位名称必须与投标单位的名称保持一致，个人缴纳社保记录不作为公司人员社保缴纳凭证（若项目组成员为大专院校教师，其社保证明可以用加盖投标单位公章的教师证代替）。</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2.2技术部分评审内容及标准（4</w:t>
      </w:r>
      <w:r>
        <w:rPr>
          <w:rFonts w:ascii="宋体" w:hAnsi="宋体" w:cs="宋体"/>
          <w:sz w:val="24"/>
        </w:rPr>
        <w:t>0</w:t>
      </w:r>
      <w:r>
        <w:rPr>
          <w:rFonts w:hint="eastAsia" w:ascii="宋体" w:hAnsi="宋体" w:cs="宋体"/>
          <w:sz w:val="24"/>
        </w:rPr>
        <w:t>分）</w:t>
      </w:r>
    </w:p>
    <w:tbl>
      <w:tblPr>
        <w:tblStyle w:val="25"/>
        <w:tblW w:w="965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220"/>
        <w:gridCol w:w="500"/>
        <w:gridCol w:w="693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220" w:type="dxa"/>
            <w:tcBorders>
              <w:top w:val="outset" w:color="auto" w:sz="6" w:space="0"/>
              <w:left w:val="outset" w:color="auto" w:sz="6" w:space="0"/>
              <w:bottom w:val="outset" w:color="auto" w:sz="6" w:space="0"/>
              <w:right w:val="outset" w:color="auto" w:sz="6" w:space="0"/>
            </w:tcBorders>
            <w:vAlign w:val="center"/>
          </w:tcPr>
          <w:p>
            <w:pPr>
              <w:jc w:val="center"/>
              <w:rPr>
                <w:sz w:val="20"/>
                <w:szCs w:val="22"/>
              </w:rPr>
            </w:pPr>
            <w:r>
              <w:rPr>
                <w:rFonts w:hint="eastAsia" w:ascii="宋体" w:hAnsi="宋体" w:cs="宋体"/>
                <w:sz w:val="24"/>
              </w:rPr>
              <w:t>评审项目</w:t>
            </w:r>
          </w:p>
        </w:tc>
        <w:tc>
          <w:tcPr>
            <w:tcW w:w="500" w:type="dxa"/>
            <w:tcBorders>
              <w:top w:val="outset" w:color="auto" w:sz="6" w:space="0"/>
              <w:left w:val="outset" w:color="auto" w:sz="6" w:space="0"/>
              <w:bottom w:val="outset" w:color="auto" w:sz="6" w:space="0"/>
              <w:right w:val="outset" w:color="auto" w:sz="6" w:space="0"/>
            </w:tcBorders>
            <w:vAlign w:val="center"/>
          </w:tcPr>
          <w:p>
            <w:pPr>
              <w:jc w:val="center"/>
              <w:rPr>
                <w:sz w:val="20"/>
                <w:szCs w:val="22"/>
              </w:rPr>
            </w:pPr>
            <w:r>
              <w:rPr>
                <w:rFonts w:hint="eastAsia" w:ascii="宋体" w:hAnsi="宋体" w:cs="宋体"/>
                <w:sz w:val="24"/>
              </w:rPr>
              <w:t>分值</w:t>
            </w:r>
          </w:p>
        </w:tc>
        <w:tc>
          <w:tcPr>
            <w:tcW w:w="6933" w:type="dxa"/>
            <w:tcBorders>
              <w:top w:val="outset" w:color="auto" w:sz="6" w:space="0"/>
              <w:left w:val="outset" w:color="auto" w:sz="6" w:space="0"/>
              <w:bottom w:val="outset" w:color="auto" w:sz="6" w:space="0"/>
              <w:right w:val="outset" w:color="auto" w:sz="6" w:space="0"/>
            </w:tcBorders>
            <w:vAlign w:val="center"/>
          </w:tcPr>
          <w:p>
            <w:pPr>
              <w:jc w:val="center"/>
              <w:rPr>
                <w:sz w:val="20"/>
                <w:szCs w:val="22"/>
              </w:rPr>
            </w:pPr>
            <w:r>
              <w:rPr>
                <w:rFonts w:hint="eastAsia" w:ascii="宋体" w:hAnsi="宋体" w:cs="宋体"/>
                <w:sz w:val="24"/>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8" w:hRule="atLeast"/>
        </w:trPr>
        <w:tc>
          <w:tcPr>
            <w:tcW w:w="2220" w:type="dxa"/>
            <w:vMerge w:val="restart"/>
            <w:tcBorders>
              <w:top w:val="outset" w:color="auto" w:sz="6" w:space="0"/>
              <w:left w:val="outset" w:color="auto" w:sz="6" w:space="0"/>
              <w:right w:val="outset" w:color="auto" w:sz="6" w:space="0"/>
            </w:tcBorders>
            <w:vAlign w:val="center"/>
          </w:tcPr>
          <w:p>
            <w:pPr>
              <w:spacing w:line="360" w:lineRule="auto"/>
              <w:ind w:right="210" w:rightChars="100"/>
              <w:jc w:val="center"/>
              <w:rPr>
                <w:rFonts w:ascii="宋体" w:hAnsi="宋体" w:cs="宋体"/>
                <w:sz w:val="24"/>
              </w:rPr>
            </w:pPr>
            <w:r>
              <w:rPr>
                <w:rFonts w:hint="eastAsia" w:ascii="宋体" w:hAnsi="宋体" w:cs="宋体"/>
                <w:sz w:val="24"/>
              </w:rPr>
              <w:t>技术方案       （ 4</w:t>
            </w:r>
            <w:r>
              <w:rPr>
                <w:rFonts w:ascii="宋体" w:hAnsi="宋体" w:cs="宋体"/>
                <w:sz w:val="24"/>
              </w:rPr>
              <w:t>0</w:t>
            </w:r>
            <w:r>
              <w:rPr>
                <w:rFonts w:hint="eastAsia" w:ascii="宋体" w:hAnsi="宋体" w:cs="宋体"/>
                <w:sz w:val="24"/>
              </w:rPr>
              <w:t>分）</w:t>
            </w:r>
          </w:p>
          <w:p>
            <w:pPr>
              <w:jc w:val="center"/>
              <w:rPr>
                <w:sz w:val="20"/>
                <w:szCs w:val="22"/>
              </w:rPr>
            </w:pPr>
          </w:p>
        </w:tc>
        <w:tc>
          <w:tcPr>
            <w:tcW w:w="500"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jc w:val="center"/>
              <w:rPr>
                <w:sz w:val="18"/>
                <w:szCs w:val="21"/>
              </w:rPr>
            </w:pPr>
            <w:r>
              <w:rPr>
                <w:rFonts w:asciiTheme="minorEastAsia" w:hAnsiTheme="minorEastAsia" w:eastAsiaTheme="minorEastAsia" w:cstheme="minorEastAsia"/>
              </w:rPr>
              <w:t>10</w:t>
            </w:r>
            <w:r>
              <w:rPr>
                <w:rFonts w:hint="eastAsia" w:asciiTheme="minorEastAsia" w:hAnsiTheme="minorEastAsia" w:eastAsiaTheme="minorEastAsia" w:cstheme="minorEastAsia"/>
              </w:rPr>
              <w:t>分</w:t>
            </w:r>
          </w:p>
        </w:tc>
        <w:tc>
          <w:tcPr>
            <w:tcW w:w="6933"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rPr>
                <w:sz w:val="18"/>
                <w:szCs w:val="21"/>
              </w:rPr>
            </w:pPr>
            <w:r>
              <w:rPr>
                <w:rFonts w:hint="eastAsia" w:asciiTheme="minorEastAsia" w:hAnsiTheme="minorEastAsia" w:eastAsiaTheme="minorEastAsia" w:cstheme="minorEastAsia"/>
              </w:rPr>
              <w:t xml:space="preserve">项目理解：对本项目的规划背景和编制作用，阐述准确得 </w:t>
            </w:r>
            <w:r>
              <w:rPr>
                <w:rFonts w:asciiTheme="minorEastAsia" w:hAnsiTheme="minorEastAsia" w:eastAsiaTheme="minorEastAsia" w:cstheme="minorEastAsia"/>
              </w:rPr>
              <w:t>8</w:t>
            </w:r>
            <w:r>
              <w:rPr>
                <w:rFonts w:hint="eastAsia" w:asciiTheme="minorEastAsia" w:hAnsiTheme="minorEastAsia" w:eastAsiaTheme="minorEastAsia" w:cstheme="minorEastAsia"/>
              </w:rPr>
              <w:t>-</w:t>
            </w:r>
            <w:r>
              <w:rPr>
                <w:rFonts w:asciiTheme="minorEastAsia" w:hAnsiTheme="minorEastAsia" w:eastAsiaTheme="minorEastAsia" w:cstheme="minorEastAsia"/>
              </w:rPr>
              <w:t>10</w:t>
            </w:r>
            <w:r>
              <w:rPr>
                <w:rFonts w:hint="eastAsia" w:asciiTheme="minorEastAsia" w:hAnsiTheme="minorEastAsia" w:eastAsiaTheme="minorEastAsia" w:cstheme="minorEastAsia"/>
              </w:rPr>
              <w:t xml:space="preserve"> 分；较准确得 </w:t>
            </w:r>
            <w:r>
              <w:rPr>
                <w:rFonts w:asciiTheme="minorEastAsia" w:hAnsiTheme="minorEastAsia" w:eastAsiaTheme="minorEastAsia" w:cstheme="minorEastAsia"/>
              </w:rPr>
              <w:t>5</w:t>
            </w:r>
            <w:r>
              <w:rPr>
                <w:rFonts w:hint="eastAsia" w:asciiTheme="minorEastAsia" w:hAnsiTheme="minorEastAsia" w:eastAsiaTheme="minorEastAsia" w:cstheme="minorEastAsia"/>
              </w:rPr>
              <w:t>-</w:t>
            </w:r>
            <w:r>
              <w:rPr>
                <w:rFonts w:asciiTheme="minorEastAsia" w:hAnsiTheme="minorEastAsia" w:eastAsiaTheme="minorEastAsia" w:cstheme="minorEastAsia"/>
              </w:rPr>
              <w:t>7</w:t>
            </w:r>
            <w:r>
              <w:rPr>
                <w:rFonts w:hint="eastAsia" w:asciiTheme="minorEastAsia" w:hAnsiTheme="minorEastAsia" w:eastAsiaTheme="minorEastAsia" w:cstheme="minorEastAsia"/>
              </w:rPr>
              <w:t xml:space="preserve"> 分；一般得 0-</w:t>
            </w:r>
            <w:r>
              <w:rPr>
                <w:rFonts w:asciiTheme="minorEastAsia" w:hAnsiTheme="minorEastAsia" w:eastAsiaTheme="minorEastAsia" w:cstheme="minorEastAsia"/>
              </w:rPr>
              <w:t>4</w:t>
            </w:r>
            <w:r>
              <w:rPr>
                <w:rFonts w:hint="eastAsia" w:asciiTheme="minorEastAsia" w:hAnsiTheme="minorEastAsia" w:eastAsiaTheme="minorEastAsia" w:cstheme="minorEastAsia"/>
              </w:rPr>
              <w:t xml:space="preserve">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98" w:hRule="atLeast"/>
        </w:trPr>
        <w:tc>
          <w:tcPr>
            <w:tcW w:w="2220" w:type="dxa"/>
            <w:vMerge w:val="continue"/>
            <w:tcBorders>
              <w:left w:val="outset" w:color="auto" w:sz="6" w:space="0"/>
              <w:right w:val="outset" w:color="auto" w:sz="6" w:space="0"/>
            </w:tcBorders>
            <w:vAlign w:val="center"/>
          </w:tcPr>
          <w:p>
            <w:pPr>
              <w:jc w:val="center"/>
              <w:rPr>
                <w:sz w:val="20"/>
                <w:szCs w:val="22"/>
              </w:rPr>
            </w:pPr>
          </w:p>
        </w:tc>
        <w:tc>
          <w:tcPr>
            <w:tcW w:w="500"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jc w:val="center"/>
              <w:rPr>
                <w:sz w:val="18"/>
                <w:szCs w:val="21"/>
              </w:rPr>
            </w:pPr>
            <w:r>
              <w:rPr>
                <w:rFonts w:asciiTheme="minorEastAsia" w:hAnsiTheme="minorEastAsia" w:eastAsiaTheme="minorEastAsia" w:cstheme="minorEastAsia"/>
              </w:rPr>
              <w:t>10</w:t>
            </w:r>
            <w:r>
              <w:rPr>
                <w:rFonts w:hint="eastAsia" w:asciiTheme="minorEastAsia" w:hAnsiTheme="minorEastAsia" w:eastAsiaTheme="minorEastAsia" w:cstheme="minorEastAsia"/>
              </w:rPr>
              <w:t>分</w:t>
            </w:r>
          </w:p>
        </w:tc>
        <w:tc>
          <w:tcPr>
            <w:tcW w:w="6933"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rPr>
                <w:sz w:val="18"/>
                <w:szCs w:val="21"/>
              </w:rPr>
            </w:pPr>
            <w:r>
              <w:rPr>
                <w:rFonts w:hint="eastAsia" w:asciiTheme="minorEastAsia" w:hAnsiTheme="minorEastAsia" w:eastAsiaTheme="minorEastAsia" w:cstheme="minorEastAsia"/>
              </w:rPr>
              <w:t>现状分析：对现状芜湖、宣城地区航空客流进行分析，分析合理的得</w:t>
            </w:r>
            <w:r>
              <w:rPr>
                <w:rFonts w:asciiTheme="minorEastAsia" w:hAnsiTheme="minorEastAsia" w:eastAsiaTheme="minorEastAsia" w:cstheme="minorEastAsia"/>
              </w:rPr>
              <w:t>8</w:t>
            </w:r>
            <w:r>
              <w:rPr>
                <w:rFonts w:hint="eastAsia" w:asciiTheme="minorEastAsia" w:hAnsiTheme="minorEastAsia" w:eastAsiaTheme="minorEastAsia" w:cstheme="minorEastAsia"/>
              </w:rPr>
              <w:t>-</w:t>
            </w:r>
            <w:r>
              <w:rPr>
                <w:rFonts w:asciiTheme="minorEastAsia" w:hAnsiTheme="minorEastAsia" w:eastAsiaTheme="minorEastAsia" w:cstheme="minorEastAsia"/>
              </w:rPr>
              <w:t>10</w:t>
            </w:r>
            <w:r>
              <w:rPr>
                <w:rFonts w:hint="eastAsia" w:asciiTheme="minorEastAsia" w:hAnsiTheme="minorEastAsia" w:eastAsiaTheme="minorEastAsia" w:cstheme="minorEastAsia"/>
              </w:rPr>
              <w:t xml:space="preserve">分；分析相对合理得 </w:t>
            </w:r>
            <w:r>
              <w:rPr>
                <w:rFonts w:asciiTheme="minorEastAsia" w:hAnsiTheme="minorEastAsia" w:eastAsiaTheme="minorEastAsia" w:cstheme="minorEastAsia"/>
              </w:rPr>
              <w:t>5</w:t>
            </w:r>
            <w:r>
              <w:rPr>
                <w:rFonts w:hint="eastAsia" w:asciiTheme="minorEastAsia" w:hAnsiTheme="minorEastAsia" w:eastAsiaTheme="minorEastAsia" w:cstheme="minorEastAsia"/>
              </w:rPr>
              <w:t>-</w:t>
            </w:r>
            <w:r>
              <w:rPr>
                <w:rFonts w:asciiTheme="minorEastAsia" w:hAnsiTheme="minorEastAsia" w:eastAsiaTheme="minorEastAsia" w:cstheme="minorEastAsia"/>
              </w:rPr>
              <w:t>7</w:t>
            </w:r>
            <w:r>
              <w:rPr>
                <w:rFonts w:hint="eastAsia" w:asciiTheme="minorEastAsia" w:hAnsiTheme="minorEastAsia" w:eastAsiaTheme="minorEastAsia" w:cstheme="minorEastAsia"/>
              </w:rPr>
              <w:t>分；分析一般的得 0-</w:t>
            </w:r>
            <w:r>
              <w:rPr>
                <w:rFonts w:asciiTheme="minorEastAsia" w:hAnsiTheme="minorEastAsia" w:eastAsiaTheme="minorEastAsia" w:cstheme="minorEastAsia"/>
              </w:rPr>
              <w:t>4</w:t>
            </w:r>
            <w:r>
              <w:rPr>
                <w:rFonts w:hint="eastAsia" w:asciiTheme="minorEastAsia" w:hAnsiTheme="minorEastAsia" w:eastAsiaTheme="minorEastAsia" w:cstheme="minorEastAsia"/>
              </w:rPr>
              <w:t xml:space="preserve">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3" w:hRule="atLeast"/>
        </w:trPr>
        <w:tc>
          <w:tcPr>
            <w:tcW w:w="2220" w:type="dxa"/>
            <w:vMerge w:val="continue"/>
            <w:tcBorders>
              <w:left w:val="outset" w:color="auto" w:sz="6" w:space="0"/>
              <w:right w:val="outset" w:color="auto" w:sz="6" w:space="0"/>
            </w:tcBorders>
            <w:vAlign w:val="center"/>
          </w:tcPr>
          <w:p>
            <w:pPr>
              <w:jc w:val="center"/>
              <w:rPr>
                <w:sz w:val="20"/>
                <w:szCs w:val="22"/>
              </w:rPr>
            </w:pPr>
          </w:p>
        </w:tc>
        <w:tc>
          <w:tcPr>
            <w:tcW w:w="500"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jc w:val="center"/>
              <w:rPr>
                <w:sz w:val="18"/>
                <w:szCs w:val="21"/>
                <w:u w:val="single"/>
              </w:rPr>
            </w:pPr>
            <w:r>
              <w:rPr>
                <w:rFonts w:asciiTheme="minorEastAsia" w:hAnsiTheme="minorEastAsia" w:eastAsiaTheme="minorEastAsia" w:cstheme="minorEastAsia"/>
              </w:rPr>
              <w:t>10</w:t>
            </w:r>
            <w:r>
              <w:rPr>
                <w:rFonts w:hint="eastAsia" w:asciiTheme="minorEastAsia" w:hAnsiTheme="minorEastAsia" w:eastAsiaTheme="minorEastAsia" w:cstheme="minorEastAsia"/>
              </w:rPr>
              <w:t>分</w:t>
            </w:r>
          </w:p>
        </w:tc>
        <w:tc>
          <w:tcPr>
            <w:tcW w:w="6933"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rPr>
                <w:sz w:val="18"/>
                <w:szCs w:val="21"/>
              </w:rPr>
            </w:pPr>
            <w:r>
              <w:rPr>
                <w:rFonts w:hint="eastAsia" w:asciiTheme="minorEastAsia" w:hAnsiTheme="minorEastAsia" w:eastAsiaTheme="minorEastAsia" w:cstheme="minorEastAsia"/>
              </w:rPr>
              <w:t>总体思路：项目总体思路清晰，技术路线内容合理，得</w:t>
            </w:r>
            <w:r>
              <w:rPr>
                <w:rFonts w:asciiTheme="minorEastAsia" w:hAnsiTheme="minorEastAsia" w:eastAsiaTheme="minorEastAsia" w:cstheme="minorEastAsia"/>
              </w:rPr>
              <w:t>8</w:t>
            </w:r>
            <w:r>
              <w:rPr>
                <w:rFonts w:hint="eastAsia" w:asciiTheme="minorEastAsia" w:hAnsiTheme="minorEastAsia" w:eastAsiaTheme="minorEastAsia" w:cstheme="minorEastAsia"/>
              </w:rPr>
              <w:t>-</w:t>
            </w:r>
            <w:r>
              <w:rPr>
                <w:rFonts w:asciiTheme="minorEastAsia" w:hAnsiTheme="minorEastAsia" w:eastAsiaTheme="minorEastAsia" w:cstheme="minorEastAsia"/>
              </w:rPr>
              <w:t>10</w:t>
            </w:r>
            <w:r>
              <w:rPr>
                <w:rFonts w:hint="eastAsia" w:asciiTheme="minorEastAsia" w:hAnsiTheme="minorEastAsia" w:eastAsiaTheme="minorEastAsia" w:cstheme="minorEastAsia"/>
              </w:rPr>
              <w:t>分；总体设计思路较清晰，技术路线较合理，得</w:t>
            </w:r>
            <w:r>
              <w:rPr>
                <w:rFonts w:asciiTheme="minorEastAsia" w:hAnsiTheme="minorEastAsia" w:eastAsiaTheme="minorEastAsia" w:cstheme="minorEastAsia"/>
              </w:rPr>
              <w:t>5</w:t>
            </w:r>
            <w:r>
              <w:rPr>
                <w:rFonts w:hint="eastAsia" w:asciiTheme="minorEastAsia" w:hAnsiTheme="minorEastAsia" w:eastAsiaTheme="minorEastAsia" w:cstheme="minorEastAsia"/>
              </w:rPr>
              <w:t>-</w:t>
            </w:r>
            <w:r>
              <w:rPr>
                <w:rFonts w:asciiTheme="minorEastAsia" w:hAnsiTheme="minorEastAsia" w:eastAsiaTheme="minorEastAsia" w:cstheme="minorEastAsia"/>
              </w:rPr>
              <w:t>7</w:t>
            </w:r>
            <w:r>
              <w:rPr>
                <w:rFonts w:hint="eastAsia" w:asciiTheme="minorEastAsia" w:hAnsiTheme="minorEastAsia" w:eastAsiaTheme="minorEastAsia" w:cstheme="minorEastAsia"/>
              </w:rPr>
              <w:t>分；总体设计思路一般，技术路线一般，得 0-</w:t>
            </w:r>
            <w:r>
              <w:rPr>
                <w:rFonts w:asciiTheme="minorEastAsia" w:hAnsiTheme="minorEastAsia" w:eastAsiaTheme="minorEastAsia" w:cstheme="minorEastAsia"/>
              </w:rPr>
              <w:t>4</w:t>
            </w:r>
            <w:r>
              <w:rPr>
                <w:rFonts w:hint="eastAsia" w:asciiTheme="minorEastAsia" w:hAnsiTheme="minorEastAsia" w:eastAsiaTheme="minorEastAsia" w:cstheme="minorEastAsia"/>
              </w:rPr>
              <w:t xml:space="preserve">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0" w:hRule="atLeast"/>
        </w:trPr>
        <w:tc>
          <w:tcPr>
            <w:tcW w:w="2220" w:type="dxa"/>
            <w:vMerge w:val="continue"/>
            <w:tcBorders>
              <w:left w:val="outset" w:color="auto" w:sz="6" w:space="0"/>
              <w:right w:val="outset" w:color="auto" w:sz="6" w:space="0"/>
            </w:tcBorders>
            <w:vAlign w:val="center"/>
          </w:tcPr>
          <w:p>
            <w:pPr>
              <w:jc w:val="center"/>
              <w:rPr>
                <w:sz w:val="20"/>
                <w:szCs w:val="22"/>
              </w:rPr>
            </w:pPr>
          </w:p>
        </w:tc>
        <w:tc>
          <w:tcPr>
            <w:tcW w:w="500"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jc w:val="center"/>
              <w:rPr>
                <w:rFonts w:ascii="宋体" w:hAnsi="宋体" w:cs="宋体"/>
                <w:sz w:val="22"/>
                <w:szCs w:val="22"/>
              </w:rPr>
            </w:pPr>
            <w:r>
              <w:rPr>
                <w:rFonts w:asciiTheme="minorEastAsia" w:hAnsiTheme="minorEastAsia" w:eastAsiaTheme="minorEastAsia" w:cstheme="minorEastAsia"/>
              </w:rPr>
              <w:t>8</w:t>
            </w:r>
            <w:r>
              <w:rPr>
                <w:rFonts w:hint="eastAsia" w:asciiTheme="minorEastAsia" w:hAnsiTheme="minorEastAsia" w:eastAsiaTheme="minorEastAsia" w:cstheme="minorEastAsia"/>
              </w:rPr>
              <w:t>分</w:t>
            </w:r>
          </w:p>
        </w:tc>
        <w:tc>
          <w:tcPr>
            <w:tcW w:w="6933"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rPr>
                <w:sz w:val="18"/>
                <w:szCs w:val="21"/>
              </w:rPr>
            </w:pPr>
            <w:r>
              <w:rPr>
                <w:rFonts w:hint="eastAsia" w:asciiTheme="minorEastAsia" w:hAnsiTheme="minorEastAsia" w:eastAsiaTheme="minorEastAsia" w:cstheme="minorEastAsia"/>
              </w:rPr>
              <w:t xml:space="preserve">成果进度：拟提交的成果进度计划合理，符合时间要求，得 </w:t>
            </w:r>
            <w:r>
              <w:rPr>
                <w:rFonts w:asciiTheme="minorEastAsia" w:hAnsiTheme="minorEastAsia" w:eastAsiaTheme="minorEastAsia" w:cstheme="minorEastAsia"/>
              </w:rPr>
              <w:t>6</w:t>
            </w:r>
            <w:r>
              <w:rPr>
                <w:rFonts w:hint="eastAsia" w:asciiTheme="minorEastAsia" w:hAnsiTheme="minorEastAsia" w:eastAsiaTheme="minorEastAsia" w:cstheme="minorEastAsia"/>
              </w:rPr>
              <w:t>-</w:t>
            </w:r>
            <w:r>
              <w:rPr>
                <w:rFonts w:asciiTheme="minorEastAsia" w:hAnsiTheme="minorEastAsia" w:eastAsiaTheme="minorEastAsia" w:cstheme="minorEastAsia"/>
              </w:rPr>
              <w:t>8</w:t>
            </w:r>
            <w:r>
              <w:rPr>
                <w:rFonts w:hint="eastAsia" w:asciiTheme="minorEastAsia" w:hAnsiTheme="minorEastAsia" w:eastAsiaTheme="minorEastAsia" w:cstheme="minorEastAsia"/>
              </w:rPr>
              <w:t xml:space="preserve"> 分；拟提交的成果进度计划较合理，符合时间要求，得</w:t>
            </w:r>
            <w:r>
              <w:rPr>
                <w:rFonts w:asciiTheme="minorEastAsia" w:hAnsiTheme="minorEastAsia" w:eastAsiaTheme="minorEastAsia" w:cstheme="minorEastAsia"/>
              </w:rPr>
              <w:t>4</w:t>
            </w:r>
            <w:r>
              <w:rPr>
                <w:rFonts w:hint="eastAsia" w:asciiTheme="minorEastAsia" w:hAnsiTheme="minorEastAsia" w:eastAsiaTheme="minorEastAsia" w:cstheme="minorEastAsia"/>
              </w:rPr>
              <w:t>-</w:t>
            </w:r>
            <w:r>
              <w:rPr>
                <w:rFonts w:asciiTheme="minorEastAsia" w:hAnsiTheme="minorEastAsia" w:eastAsiaTheme="minorEastAsia" w:cstheme="minorEastAsia"/>
              </w:rPr>
              <w:t>5</w:t>
            </w:r>
            <w:r>
              <w:rPr>
                <w:rFonts w:hint="eastAsia" w:asciiTheme="minorEastAsia" w:hAnsiTheme="minorEastAsia" w:eastAsiaTheme="minorEastAsia" w:cstheme="minorEastAsia"/>
              </w:rPr>
              <w:t>分；拟提交的成果进度计划一般，得0-</w:t>
            </w:r>
            <w:r>
              <w:rPr>
                <w:rFonts w:asciiTheme="minorEastAsia" w:hAnsiTheme="minorEastAsia" w:eastAsiaTheme="minorEastAsia" w:cstheme="minorEastAsia"/>
              </w:rPr>
              <w:t>3</w:t>
            </w:r>
            <w:r>
              <w:rPr>
                <w:rFonts w:hint="eastAsia" w:asciiTheme="minorEastAsia" w:hAnsiTheme="minorEastAsia" w:eastAsiaTheme="minorEastAsia" w:cstheme="minorEastAsia"/>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220" w:type="dxa"/>
            <w:vMerge w:val="continue"/>
            <w:tcBorders>
              <w:left w:val="outset" w:color="auto" w:sz="6" w:space="0"/>
              <w:bottom w:val="outset" w:color="auto" w:sz="6" w:space="0"/>
              <w:right w:val="outset" w:color="auto" w:sz="6" w:space="0"/>
            </w:tcBorders>
            <w:vAlign w:val="center"/>
          </w:tcPr>
          <w:p>
            <w:pPr>
              <w:jc w:val="center"/>
              <w:rPr>
                <w:sz w:val="20"/>
                <w:szCs w:val="22"/>
              </w:rPr>
            </w:pPr>
          </w:p>
        </w:tc>
        <w:tc>
          <w:tcPr>
            <w:tcW w:w="500"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jc w:val="center"/>
              <w:rPr>
                <w:rFonts w:ascii="宋体" w:hAnsi="宋体" w:cs="宋体"/>
                <w:sz w:val="22"/>
                <w:szCs w:val="22"/>
              </w:rPr>
            </w:pPr>
            <w:r>
              <w:rPr>
                <w:rFonts w:hint="eastAsia" w:asciiTheme="minorEastAsia" w:hAnsiTheme="minorEastAsia" w:eastAsiaTheme="minorEastAsia" w:cstheme="minorEastAsia"/>
              </w:rPr>
              <w:t>2分</w:t>
            </w:r>
          </w:p>
        </w:tc>
        <w:tc>
          <w:tcPr>
            <w:tcW w:w="6933" w:type="dxa"/>
            <w:tcBorders>
              <w:top w:val="outset" w:color="auto" w:sz="6" w:space="0"/>
              <w:left w:val="outset" w:color="auto" w:sz="6" w:space="0"/>
              <w:bottom w:val="outset" w:color="auto" w:sz="6" w:space="0"/>
              <w:right w:val="outset" w:color="auto" w:sz="6" w:space="0"/>
            </w:tcBorders>
            <w:vAlign w:val="center"/>
          </w:tcPr>
          <w:p>
            <w:pPr>
              <w:pStyle w:val="89"/>
              <w:spacing w:line="440" w:lineRule="exact"/>
              <w:rPr>
                <w:rFonts w:ascii="宋体" w:hAnsi="宋体" w:cs="宋体"/>
                <w:sz w:val="22"/>
                <w:szCs w:val="22"/>
              </w:rPr>
            </w:pPr>
            <w:r>
              <w:rPr>
                <w:rFonts w:hint="eastAsia" w:asciiTheme="minorEastAsia" w:hAnsiTheme="minorEastAsia" w:eastAsiaTheme="minorEastAsia" w:cstheme="minorEastAsia"/>
              </w:rPr>
              <w:t>后期服务：提供服务承诺，得2分，未提供不得分。</w:t>
            </w:r>
          </w:p>
        </w:tc>
      </w:tr>
    </w:tbl>
    <w:p>
      <w:pPr>
        <w:spacing w:line="360" w:lineRule="auto"/>
        <w:rPr>
          <w:rFonts w:hint="eastAsia" w:ascii="宋体" w:hAnsi="宋体"/>
          <w:color w:val="000000"/>
          <w:sz w:val="24"/>
          <w:highlight w:val="white"/>
        </w:rPr>
      </w:pPr>
    </w:p>
    <w:p>
      <w:pPr>
        <w:spacing w:line="360" w:lineRule="auto"/>
        <w:ind w:firstLine="480" w:firstLineChars="200"/>
        <w:rPr>
          <w:rFonts w:ascii="宋体" w:hAnsi="宋体"/>
          <w:color w:val="000000"/>
          <w:sz w:val="24"/>
          <w:highlight w:val="white"/>
        </w:rPr>
      </w:pPr>
      <w:r>
        <w:rPr>
          <w:rFonts w:hint="eastAsia" w:ascii="宋体" w:hAnsi="宋体"/>
          <w:color w:val="000000"/>
          <w:sz w:val="24"/>
          <w:highlight w:val="white"/>
        </w:rPr>
        <w:t xml:space="preserve">备注：评标委员会成员对“技术部分”合计分超出其他成员平均值±50%时，须写明评分依据及理由。 </w:t>
      </w:r>
    </w:p>
    <w:bookmarkEnd w:id="34"/>
    <w:p>
      <w:pPr>
        <w:spacing w:line="360" w:lineRule="auto"/>
        <w:ind w:left="360"/>
        <w:rPr>
          <w:rFonts w:ascii="宋体" w:hAnsi="宋体"/>
          <w:color w:val="000000"/>
          <w:sz w:val="24"/>
          <w:highlight w:val="white"/>
        </w:rPr>
      </w:pPr>
      <w:r>
        <w:rPr>
          <w:rFonts w:hint="eastAsia" w:ascii="宋体" w:hAnsi="宋体"/>
          <w:color w:val="000000"/>
          <w:sz w:val="24"/>
          <w:highlight w:val="white"/>
        </w:rPr>
        <w:t>中标（成交）结果公告：公告内容应包括</w:t>
      </w:r>
      <w:r>
        <w:rPr>
          <w:rFonts w:ascii="宋体" w:hAnsi="宋体"/>
          <w:color w:val="000000"/>
          <w:sz w:val="24"/>
          <w:highlight w:val="white"/>
        </w:rPr>
        <w:t>采购人及其委托的采购代理机构的名称、地址、联系方式，项目名称和项目编号，中标人名称、地址和中标金额，</w:t>
      </w:r>
      <w:r>
        <w:rPr>
          <w:rFonts w:hint="eastAsia" w:ascii="宋体" w:hAnsi="宋体"/>
          <w:color w:val="000000"/>
          <w:sz w:val="24"/>
          <w:highlight w:val="white"/>
        </w:rPr>
        <w:t>中标人资格条件（如有），</w:t>
      </w:r>
      <w:r>
        <w:rPr>
          <w:rFonts w:ascii="宋体" w:hAnsi="宋体"/>
          <w:color w:val="000000"/>
          <w:sz w:val="24"/>
          <w:highlight w:val="white"/>
        </w:rPr>
        <w:t>主要中标标的的名称、数量、单价、服务要求，</w:t>
      </w:r>
      <w:r>
        <w:rPr>
          <w:rFonts w:hint="eastAsia" w:ascii="宋体" w:hAnsi="宋体"/>
          <w:color w:val="000000"/>
          <w:sz w:val="24"/>
          <w:highlight w:val="white"/>
          <w:lang w:val="en-US" w:eastAsia="zh-CN"/>
        </w:rPr>
        <w:t>业绩、获奖，</w:t>
      </w:r>
      <w:r>
        <w:rPr>
          <w:rFonts w:hint="eastAsia" w:ascii="宋体" w:hAnsi="宋体"/>
          <w:color w:val="000000"/>
          <w:sz w:val="24"/>
          <w:highlight w:val="white"/>
        </w:rPr>
        <w:t>评标被否决单位及原因，</w:t>
      </w:r>
      <w:r>
        <w:rPr>
          <w:rFonts w:ascii="宋体" w:hAnsi="宋体"/>
          <w:color w:val="000000"/>
          <w:sz w:val="24"/>
          <w:highlight w:val="white"/>
        </w:rPr>
        <w:t>中标公告期限以及评审专家名单</w:t>
      </w:r>
      <w:r>
        <w:rPr>
          <w:rFonts w:hint="eastAsia" w:ascii="宋体" w:hAnsi="宋体"/>
          <w:color w:val="000000"/>
          <w:sz w:val="24"/>
          <w:highlight w:val="white"/>
        </w:rPr>
        <w:t>。竞争性磋商文件随之一起公告。</w:t>
      </w:r>
    </w:p>
    <w:p>
      <w:pPr>
        <w:spacing w:line="360" w:lineRule="auto"/>
        <w:rPr>
          <w:rFonts w:ascii="宋体" w:hAnsi="宋体"/>
          <w:color w:val="000000"/>
          <w:sz w:val="24"/>
        </w:rPr>
      </w:pPr>
      <w:r>
        <w:rPr>
          <w:rFonts w:hint="eastAsia" w:ascii="宋体" w:hAnsi="宋体" w:cs="宋体"/>
          <w:b/>
          <w:sz w:val="24"/>
        </w:rPr>
        <w:t>（三）其他</w:t>
      </w:r>
    </w:p>
    <w:p>
      <w:pPr>
        <w:spacing w:line="360" w:lineRule="auto"/>
        <w:ind w:firstLine="480" w:firstLineChars="200"/>
        <w:rPr>
          <w:rFonts w:ascii="宋体" w:hAnsi="宋体"/>
          <w:color w:val="000000"/>
          <w:sz w:val="24"/>
        </w:rPr>
      </w:pPr>
      <w:r>
        <w:rPr>
          <w:rFonts w:hint="eastAsia" w:ascii="宋体" w:hAnsi="宋体"/>
          <w:color w:val="000000"/>
          <w:sz w:val="24"/>
        </w:rPr>
        <w:t>1、参与芜湖市政府采购活动的供应商被列入以下失信名单的，不得被推荐为政府采购项目中标候选人。</w:t>
      </w:r>
    </w:p>
    <w:p>
      <w:pPr>
        <w:spacing w:line="360" w:lineRule="auto"/>
        <w:ind w:firstLine="480" w:firstLineChars="200"/>
        <w:rPr>
          <w:rFonts w:ascii="宋体" w:hAnsi="宋体"/>
          <w:color w:val="000000"/>
          <w:sz w:val="24"/>
        </w:rPr>
      </w:pPr>
      <w:r>
        <w:rPr>
          <w:rFonts w:hint="eastAsia" w:ascii="宋体" w:hAnsi="宋体"/>
          <w:color w:val="000000"/>
          <w:sz w:val="24"/>
        </w:rPr>
        <w:t>（1）供应商被列入失信被执行人的；</w:t>
      </w:r>
    </w:p>
    <w:p>
      <w:pPr>
        <w:spacing w:line="360" w:lineRule="auto"/>
        <w:ind w:firstLine="480" w:firstLineChars="200"/>
        <w:rPr>
          <w:rFonts w:ascii="宋体" w:hAnsi="宋体"/>
          <w:color w:val="000000"/>
          <w:sz w:val="24"/>
        </w:rPr>
      </w:pPr>
      <w:r>
        <w:rPr>
          <w:rFonts w:hint="eastAsia" w:ascii="宋体" w:hAnsi="宋体"/>
          <w:color w:val="000000"/>
          <w:sz w:val="24"/>
        </w:rPr>
        <w:t>（2）供应商被工列入企业经营异常名录的；</w:t>
      </w:r>
    </w:p>
    <w:p>
      <w:pPr>
        <w:spacing w:line="360" w:lineRule="auto"/>
        <w:ind w:firstLine="480" w:firstLineChars="200"/>
        <w:rPr>
          <w:rFonts w:ascii="宋体" w:hAnsi="宋体"/>
          <w:color w:val="000000"/>
          <w:sz w:val="24"/>
        </w:rPr>
      </w:pPr>
      <w:r>
        <w:rPr>
          <w:rFonts w:hint="eastAsia" w:ascii="宋体" w:hAnsi="宋体"/>
          <w:color w:val="000000"/>
          <w:sz w:val="24"/>
        </w:rPr>
        <w:t>（3）供应商被列入重大税收违法案件当事人名单的；</w:t>
      </w:r>
    </w:p>
    <w:p>
      <w:pPr>
        <w:spacing w:line="360" w:lineRule="auto"/>
        <w:ind w:firstLine="480" w:firstLineChars="200"/>
        <w:rPr>
          <w:rFonts w:ascii="宋体" w:hAnsi="宋体"/>
          <w:color w:val="000000"/>
          <w:sz w:val="24"/>
        </w:rPr>
      </w:pPr>
      <w:r>
        <w:rPr>
          <w:rFonts w:hint="eastAsia" w:ascii="宋体" w:hAnsi="宋体"/>
          <w:color w:val="000000"/>
          <w:sz w:val="24"/>
        </w:rPr>
        <w:t>（4）供应商被列入政府采购严重违法失信行为记录名单的；</w:t>
      </w:r>
    </w:p>
    <w:p>
      <w:pPr>
        <w:spacing w:line="360" w:lineRule="auto"/>
        <w:ind w:firstLine="480" w:firstLineChars="200"/>
        <w:rPr>
          <w:rFonts w:ascii="宋体" w:hAnsi="宋体"/>
          <w:color w:val="000000"/>
          <w:sz w:val="24"/>
        </w:rPr>
      </w:pPr>
      <w:r>
        <w:rPr>
          <w:rFonts w:hint="eastAsia" w:ascii="宋体" w:hAnsi="宋体"/>
          <w:color w:val="000000"/>
          <w:sz w:val="24"/>
        </w:rPr>
        <w:t>（5）被列入芜湖市公共资源交易服务网站“诚信黑榜”公布的“黑名单”（在一定期限内禁止参加依法进行的招标采购活动的行政处罚且在行政处罚期限内的）。</w:t>
      </w:r>
    </w:p>
    <w:p>
      <w:pPr>
        <w:spacing w:line="360" w:lineRule="auto"/>
        <w:ind w:firstLine="480" w:firstLineChars="200"/>
        <w:rPr>
          <w:rFonts w:ascii="宋体" w:hAnsi="宋体"/>
          <w:color w:val="000000"/>
          <w:sz w:val="24"/>
        </w:rPr>
      </w:pPr>
      <w:r>
        <w:rPr>
          <w:rFonts w:hint="eastAsia" w:ascii="宋体" w:hAnsi="宋体"/>
          <w:color w:val="000000"/>
          <w:sz w:val="24"/>
        </w:rPr>
        <w:t>2、联合体供应商，联合体任何一方存在上述不良信用记录的，视同联合体存在不良信用记录。</w:t>
      </w:r>
    </w:p>
    <w:p>
      <w:pPr>
        <w:spacing w:line="360" w:lineRule="auto"/>
        <w:ind w:firstLine="480" w:firstLineChars="200"/>
        <w:rPr>
          <w:rFonts w:ascii="宋体" w:hAnsi="宋体"/>
          <w:color w:val="000000"/>
          <w:sz w:val="24"/>
        </w:rPr>
      </w:pPr>
      <w:r>
        <w:rPr>
          <w:rFonts w:hint="eastAsia" w:ascii="宋体" w:hAnsi="宋体"/>
          <w:color w:val="000000"/>
          <w:sz w:val="24"/>
        </w:rPr>
        <w:t>3、不良信用记录查询渠道如下：</w:t>
      </w:r>
    </w:p>
    <w:p>
      <w:pPr>
        <w:spacing w:line="360" w:lineRule="auto"/>
        <w:ind w:firstLine="480" w:firstLineChars="200"/>
        <w:rPr>
          <w:rFonts w:ascii="宋体" w:hAnsi="宋体"/>
          <w:color w:val="000000"/>
          <w:sz w:val="24"/>
        </w:rPr>
      </w:pPr>
      <w:r>
        <w:rPr>
          <w:rFonts w:hint="eastAsia" w:ascii="宋体" w:hAnsi="宋体"/>
          <w:color w:val="000000"/>
          <w:sz w:val="24"/>
        </w:rPr>
        <w:t>（1）失信被执行人：信用中国官网（www.creditchina.gov.cn）</w:t>
      </w:r>
    </w:p>
    <w:p>
      <w:pPr>
        <w:spacing w:line="360" w:lineRule="auto"/>
        <w:ind w:firstLine="480" w:firstLineChars="200"/>
        <w:rPr>
          <w:rFonts w:ascii="宋体" w:hAnsi="宋体"/>
          <w:color w:val="000000"/>
          <w:sz w:val="24"/>
        </w:rPr>
      </w:pPr>
      <w:r>
        <w:rPr>
          <w:rFonts w:hint="eastAsia" w:ascii="宋体" w:hAnsi="宋体"/>
          <w:color w:val="000000"/>
          <w:sz w:val="24"/>
        </w:rPr>
        <w:t>（2）企业经营异常名录：信用中国官网（www.creditchina.gov.cn）</w:t>
      </w:r>
    </w:p>
    <w:p>
      <w:pPr>
        <w:spacing w:line="360" w:lineRule="auto"/>
        <w:ind w:firstLine="480" w:firstLineChars="200"/>
        <w:rPr>
          <w:rFonts w:ascii="宋体" w:hAnsi="宋体"/>
          <w:color w:val="000000"/>
          <w:sz w:val="24"/>
        </w:rPr>
      </w:pPr>
      <w:r>
        <w:rPr>
          <w:rFonts w:hint="eastAsia" w:ascii="宋体" w:hAnsi="宋体"/>
          <w:color w:val="000000"/>
          <w:sz w:val="24"/>
        </w:rPr>
        <w:t>（3）重大税收违法案件当事人名单：信用中国官网（www.creditchina.gov.cn）</w:t>
      </w:r>
    </w:p>
    <w:p>
      <w:pPr>
        <w:spacing w:line="360" w:lineRule="auto"/>
        <w:ind w:firstLine="480" w:firstLineChars="200"/>
        <w:rPr>
          <w:rFonts w:ascii="宋体" w:hAnsi="宋体"/>
          <w:color w:val="000000"/>
          <w:sz w:val="24"/>
        </w:rPr>
      </w:pPr>
      <w:r>
        <w:rPr>
          <w:rFonts w:hint="eastAsia" w:ascii="宋体" w:hAnsi="宋体"/>
          <w:color w:val="000000"/>
          <w:sz w:val="24"/>
        </w:rPr>
        <w:t>（4）政府采购严重违法失信行为记录名单：中国政府采购官网（www.ccgp.gov.cn）</w:t>
      </w:r>
    </w:p>
    <w:p>
      <w:pPr>
        <w:spacing w:line="360" w:lineRule="auto"/>
        <w:ind w:firstLine="480" w:firstLineChars="200"/>
        <w:rPr>
          <w:rFonts w:ascii="宋体" w:hAnsi="宋体"/>
          <w:color w:val="000000"/>
          <w:sz w:val="24"/>
        </w:rPr>
      </w:pPr>
      <w:r>
        <w:rPr>
          <w:rFonts w:hint="eastAsia" w:ascii="宋体" w:hAnsi="宋体"/>
          <w:color w:val="000000"/>
          <w:sz w:val="24"/>
        </w:rPr>
        <w:t>（5）芜湖市公共资源交易服务网站“诚信黑榜”：芜湖市公共资源交易服务网（</w:t>
      </w:r>
      <w:r>
        <w:fldChar w:fldCharType="begin"/>
      </w:r>
      <w:r>
        <w:instrText xml:space="preserve"> HYPERLINK "http://whsggzy.wuhu.gov.cn/xyzl/020002/subpage.html" </w:instrText>
      </w:r>
      <w:r>
        <w:fldChar w:fldCharType="separate"/>
      </w:r>
      <w:r>
        <w:rPr>
          <w:rStyle w:val="36"/>
          <w:rFonts w:hint="eastAsia" w:ascii="宋体" w:hAnsi="宋体"/>
          <w:sz w:val="24"/>
        </w:rPr>
        <w:t>http://whsggzy.wuhu.gov.cn/xyzl/020002/subpage.html</w:t>
      </w:r>
      <w:r>
        <w:rPr>
          <w:rStyle w:val="36"/>
          <w:rFonts w:hint="eastAsia" w:ascii="宋体" w:hAnsi="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Arial" w:hAnsi="Arial" w:cs="Arial"/>
          <w:sz w:val="24"/>
          <w:szCs w:val="24"/>
        </w:rPr>
        <w:t>中标（成交）结果公告：公告内容应包括</w:t>
      </w:r>
      <w:r>
        <w:rPr>
          <w:rFonts w:ascii="Arial" w:hAnsi="Arial" w:cs="Arial"/>
          <w:sz w:val="24"/>
          <w:szCs w:val="24"/>
        </w:rPr>
        <w:t>采购人及其委托的采购代理机构的名称、地址、联系方式，项目名称和项目编号，中标人名称、地址和中标金额，主要中标标的的名称、规格型号、数量、单价、服务要求，</w:t>
      </w:r>
      <w:r>
        <w:rPr>
          <w:rFonts w:hint="eastAsia" w:ascii="Arial" w:hAnsi="Arial" w:cs="Arial"/>
          <w:sz w:val="24"/>
          <w:szCs w:val="24"/>
        </w:rPr>
        <w:t>中标人业绩，评标被否决单位及原因，</w:t>
      </w:r>
      <w:r>
        <w:rPr>
          <w:rFonts w:ascii="Arial" w:hAnsi="Arial" w:cs="Arial"/>
          <w:sz w:val="24"/>
          <w:szCs w:val="24"/>
        </w:rPr>
        <w:t>中标公告期限以及评审专家名单</w:t>
      </w:r>
      <w:r>
        <w:rPr>
          <w:rFonts w:hint="eastAsia" w:ascii="Arial" w:hAnsi="Arial" w:cs="Arial"/>
          <w:sz w:val="24"/>
          <w:szCs w:val="24"/>
        </w:rPr>
        <w:t>。竞争性磋商文件随之一起公告。</w:t>
      </w:r>
    </w:p>
    <w:p>
      <w:pPr>
        <w:spacing w:line="360" w:lineRule="auto"/>
        <w:ind w:left="360"/>
        <w:rPr>
          <w:rFonts w:ascii="宋体" w:hAnsi="宋体"/>
          <w:color w:val="000000"/>
          <w:sz w:val="24"/>
          <w:highlight w:val="white"/>
        </w:rPr>
      </w:pPr>
    </w:p>
    <w:p>
      <w:pPr>
        <w:widowControl/>
        <w:ind w:firstLine="420" w:firstLineChars="200"/>
        <w:jc w:val="center"/>
        <w:rPr>
          <w:rFonts w:ascii="宋体" w:hAnsi="宋体"/>
          <w:b/>
          <w:bCs/>
          <w:kern w:val="44"/>
          <w:sz w:val="30"/>
          <w:szCs w:val="30"/>
        </w:rPr>
      </w:pPr>
      <w:r>
        <w:rPr>
          <w:rFonts w:hint="eastAsia"/>
          <w:highlight w:val="white"/>
        </w:rPr>
        <w:br w:type="page"/>
      </w:r>
      <w:bookmarkStart w:id="39" w:name="_Hlk38271626"/>
      <w:r>
        <w:rPr>
          <w:rFonts w:hint="eastAsia" w:ascii="宋体" w:hAnsi="宋体"/>
          <w:b/>
          <w:bCs/>
          <w:kern w:val="44"/>
          <w:sz w:val="30"/>
          <w:szCs w:val="30"/>
        </w:rPr>
        <w:t>六、</w:t>
      </w:r>
      <w:bookmarkStart w:id="40" w:name="_Hlk38275412"/>
      <w:r>
        <w:rPr>
          <w:rFonts w:hint="eastAsia" w:ascii="宋体" w:hAnsi="宋体"/>
          <w:b/>
          <w:bCs/>
          <w:kern w:val="44"/>
          <w:sz w:val="30"/>
          <w:szCs w:val="30"/>
        </w:rPr>
        <w:t>竞争性磋商须知</w:t>
      </w:r>
      <w:bookmarkEnd w:id="40"/>
    </w:p>
    <w:p>
      <w:pPr>
        <w:adjustRightInd w:val="0"/>
        <w:snapToGrid w:val="0"/>
        <w:spacing w:line="360" w:lineRule="auto"/>
        <w:rPr>
          <w:rFonts w:ascii="宋体" w:hAnsi="宋体"/>
        </w:rPr>
      </w:pPr>
      <w:r>
        <w:rPr>
          <w:rFonts w:hint="eastAsia" w:ascii="宋体" w:hAnsi="宋体"/>
          <w:b/>
        </w:rPr>
        <w:t>一、说明</w:t>
      </w:r>
    </w:p>
    <w:p>
      <w:pPr>
        <w:adjustRightInd w:val="0"/>
        <w:snapToGrid w:val="0"/>
        <w:spacing w:beforeLines="50" w:line="360" w:lineRule="auto"/>
        <w:rPr>
          <w:rFonts w:ascii="宋体" w:hAnsi="宋体"/>
          <w:b/>
          <w:bCs/>
        </w:rPr>
      </w:pPr>
      <w:r>
        <w:rPr>
          <w:rFonts w:hint="eastAsia" w:ascii="宋体" w:hAnsi="宋体"/>
          <w:b/>
          <w:bCs/>
        </w:rPr>
        <w:t>1.定义</w:t>
      </w:r>
    </w:p>
    <w:p>
      <w:pPr>
        <w:adjustRightInd w:val="0"/>
        <w:snapToGrid w:val="0"/>
        <w:spacing w:beforeLines="50" w:line="360" w:lineRule="auto"/>
        <w:ind w:firstLine="420" w:firstLineChars="200"/>
        <w:rPr>
          <w:rFonts w:ascii="宋体" w:hAnsi="宋体"/>
          <w:b/>
        </w:rPr>
      </w:pPr>
      <w:r>
        <w:rPr>
          <w:rFonts w:hint="eastAsia" w:ascii="宋体" w:hAnsi="宋体"/>
        </w:rPr>
        <w:t>1.1 “采购人”系指依法进行政府采购的国家机关、事业单位、团体组织。本次采购的采购人名称、地址、电话、联系人见</w:t>
      </w:r>
      <w:r>
        <w:rPr>
          <w:rFonts w:hint="eastAsia" w:ascii="宋体" w:hAnsi="宋体"/>
          <w:b/>
        </w:rPr>
        <w:t>供应商须知前附表</w:t>
      </w:r>
      <w:r>
        <w:rPr>
          <w:rFonts w:hint="eastAsia" w:ascii="宋体" w:hAnsi="宋体"/>
        </w:rPr>
        <w:t>。</w:t>
      </w:r>
    </w:p>
    <w:p>
      <w:pPr>
        <w:adjustRightInd w:val="0"/>
        <w:snapToGrid w:val="0"/>
        <w:spacing w:beforeLines="50" w:line="360" w:lineRule="auto"/>
        <w:ind w:firstLine="420" w:firstLineChars="200"/>
        <w:rPr>
          <w:rFonts w:ascii="宋体" w:hAnsi="宋体"/>
        </w:rPr>
      </w:pPr>
      <w:r>
        <w:rPr>
          <w:rFonts w:hint="eastAsia" w:ascii="宋体" w:hAnsi="宋体"/>
        </w:rPr>
        <w:t>1.2“供应商”系指响应竞争性磋商文件要求、参加</w:t>
      </w:r>
      <w:r>
        <w:rPr>
          <w:rFonts w:hint="eastAsia" w:ascii="宋体" w:hAnsi="宋体" w:cs="宋体"/>
          <w:kern w:val="0"/>
        </w:rPr>
        <w:t>竞争性磋商</w:t>
      </w:r>
      <w:r>
        <w:rPr>
          <w:rFonts w:hint="eastAsia" w:ascii="宋体" w:hAnsi="宋体" w:cs="宋体"/>
          <w:kern w:val="0"/>
          <w:lang w:val="zh-CN"/>
        </w:rPr>
        <w:t>采购活动</w:t>
      </w:r>
      <w:r>
        <w:rPr>
          <w:rFonts w:hint="eastAsia" w:ascii="宋体" w:hAnsi="宋体"/>
        </w:rPr>
        <w:t>的法人、其他组织或自然人。</w:t>
      </w:r>
    </w:p>
    <w:p>
      <w:pPr>
        <w:adjustRightInd w:val="0"/>
        <w:snapToGrid w:val="0"/>
        <w:spacing w:beforeLines="50" w:line="360" w:lineRule="auto"/>
        <w:ind w:firstLine="420" w:firstLineChars="200"/>
        <w:rPr>
          <w:rFonts w:ascii="宋体" w:hAnsi="宋体"/>
          <w:color w:val="000000"/>
        </w:rPr>
      </w:pPr>
      <w:r>
        <w:rPr>
          <w:rFonts w:hint="eastAsia" w:ascii="宋体" w:hAnsi="宋体"/>
          <w:color w:val="000000"/>
        </w:rPr>
        <w:t>1.3“货物” 系指</w:t>
      </w:r>
      <w:r>
        <w:rPr>
          <w:rFonts w:hint="eastAsia" w:ascii="宋体" w:hAnsi="宋体"/>
        </w:rPr>
        <w:t>供应商</w:t>
      </w:r>
      <w:r>
        <w:rPr>
          <w:rFonts w:hint="eastAsia" w:ascii="宋体" w:hAnsi="宋体"/>
          <w:color w:val="000000"/>
        </w:rPr>
        <w:t>按</w:t>
      </w:r>
      <w:r>
        <w:rPr>
          <w:rFonts w:hint="eastAsia" w:ascii="宋体" w:hAnsi="宋体"/>
        </w:rPr>
        <w:t>竞争性磋商文件</w:t>
      </w:r>
      <w:r>
        <w:rPr>
          <w:rFonts w:hint="eastAsia" w:ascii="宋体" w:hAnsi="宋体"/>
          <w:color w:val="000000"/>
        </w:rPr>
        <w:t>规定,向采购人提供的各种形态和种类的物品，包括原材料、设备、产品(包括软件)及相关的其备品备件、工具、手册及其它技术资料和材料。</w:t>
      </w:r>
    </w:p>
    <w:p>
      <w:pPr>
        <w:adjustRightInd w:val="0"/>
        <w:snapToGrid w:val="0"/>
        <w:spacing w:beforeLines="50" w:line="360" w:lineRule="auto"/>
        <w:ind w:firstLine="420" w:firstLineChars="200"/>
        <w:rPr>
          <w:rFonts w:ascii="宋体" w:hAnsi="宋体"/>
        </w:rPr>
      </w:pPr>
      <w:r>
        <w:rPr>
          <w:rFonts w:hint="eastAsia" w:ascii="宋体" w:hAnsi="宋体"/>
          <w:color w:val="000000"/>
        </w:rPr>
        <w:t>1.4“服务” 系指</w:t>
      </w:r>
      <w:r>
        <w:rPr>
          <w:rFonts w:hint="eastAsia" w:ascii="宋体" w:hAnsi="宋体"/>
        </w:rPr>
        <w:t>竞争性磋商文件</w:t>
      </w:r>
      <w:r>
        <w:rPr>
          <w:rFonts w:hint="eastAsia" w:ascii="宋体" w:hAnsi="宋体"/>
          <w:color w:val="000000"/>
        </w:rPr>
        <w:t>规定</w:t>
      </w:r>
      <w:r>
        <w:rPr>
          <w:rFonts w:hint="eastAsia" w:ascii="宋体" w:hAnsi="宋体"/>
        </w:rPr>
        <w:t>供应商</w:t>
      </w:r>
      <w:r>
        <w:rPr>
          <w:rFonts w:hint="eastAsia" w:ascii="宋体" w:hAnsi="宋体"/>
          <w:color w:val="000000"/>
        </w:rPr>
        <w:t>应承担的系统集成、安装、调试、技术协助、校准、培训以及其它类似的义务。</w:t>
      </w:r>
    </w:p>
    <w:p>
      <w:pPr>
        <w:adjustRightInd w:val="0"/>
        <w:snapToGrid w:val="0"/>
        <w:spacing w:beforeLines="50" w:line="360" w:lineRule="auto"/>
        <w:rPr>
          <w:rFonts w:ascii="宋体" w:hAnsi="宋体"/>
          <w:b/>
          <w:bCs/>
          <w:u w:val="single"/>
        </w:rPr>
      </w:pPr>
      <w:r>
        <w:rPr>
          <w:rFonts w:hint="eastAsia" w:ascii="宋体" w:hAnsi="宋体"/>
          <w:b/>
          <w:bCs/>
          <w:u w:val="single"/>
        </w:rPr>
        <w:t xml:space="preserve">2.参与竞争性磋商的费用 </w:t>
      </w:r>
    </w:p>
    <w:p>
      <w:pPr>
        <w:adjustRightInd w:val="0"/>
        <w:snapToGrid w:val="0"/>
        <w:spacing w:beforeLines="50" w:line="360" w:lineRule="auto"/>
        <w:ind w:firstLine="420" w:firstLineChars="200"/>
        <w:rPr>
          <w:rFonts w:ascii="宋体" w:hAnsi="宋体"/>
          <w:u w:val="single"/>
        </w:rPr>
      </w:pPr>
      <w:r>
        <w:rPr>
          <w:rFonts w:hint="eastAsia" w:ascii="宋体" w:hAnsi="宋体"/>
          <w:u w:val="single"/>
        </w:rPr>
        <w:t>2.1无论竞争性磋商的结果如何，供应商应自行承担所有与</w:t>
      </w:r>
      <w:r>
        <w:rPr>
          <w:rFonts w:hint="eastAsia" w:ascii="宋体" w:hAnsi="宋体" w:cs="宋体"/>
          <w:kern w:val="0"/>
          <w:u w:val="single"/>
        </w:rPr>
        <w:t>竞争性磋商</w:t>
      </w:r>
      <w:r>
        <w:rPr>
          <w:rFonts w:hint="eastAsia" w:ascii="宋体" w:hAnsi="宋体" w:cs="宋体"/>
          <w:kern w:val="0"/>
          <w:u w:val="single"/>
          <w:lang w:val="zh-CN"/>
        </w:rPr>
        <w:t>采购活动</w:t>
      </w:r>
      <w:r>
        <w:rPr>
          <w:rFonts w:hint="eastAsia" w:ascii="宋体" w:hAnsi="宋体"/>
          <w:u w:val="single"/>
        </w:rPr>
        <w:t>有关的全部费用。</w:t>
      </w:r>
    </w:p>
    <w:p>
      <w:pPr>
        <w:adjustRightInd w:val="0"/>
        <w:snapToGrid w:val="0"/>
        <w:spacing w:beforeLines="50" w:line="360" w:lineRule="auto"/>
        <w:rPr>
          <w:rFonts w:ascii="宋体" w:hAnsi="宋体"/>
          <w:b/>
          <w:bCs/>
          <w:color w:val="000000"/>
        </w:rPr>
      </w:pPr>
      <w:r>
        <w:rPr>
          <w:rFonts w:hint="eastAsia" w:ascii="宋体" w:hAnsi="宋体"/>
          <w:b/>
        </w:rPr>
        <w:t>3．</w:t>
      </w:r>
      <w:r>
        <w:rPr>
          <w:rFonts w:hint="eastAsia" w:ascii="宋体" w:hAnsi="宋体"/>
          <w:b/>
          <w:bCs/>
          <w:color w:val="000000"/>
        </w:rPr>
        <w:t>竞争性磋商委托</w:t>
      </w:r>
    </w:p>
    <w:p>
      <w:pPr>
        <w:adjustRightInd w:val="0"/>
        <w:snapToGrid w:val="0"/>
        <w:spacing w:beforeLines="50" w:line="360" w:lineRule="auto"/>
        <w:ind w:firstLine="420" w:firstLineChars="200"/>
        <w:rPr>
          <w:rFonts w:ascii="宋体" w:hAnsi="宋体"/>
          <w:color w:val="000000"/>
        </w:rPr>
      </w:pPr>
      <w:r>
        <w:rPr>
          <w:rFonts w:hint="eastAsia" w:ascii="宋体" w:hAnsi="宋体"/>
          <w:color w:val="000000"/>
        </w:rPr>
        <w:t>3.1 如供应商代表不是供应商的法定代表人，须持有《授权委托书》。</w:t>
      </w:r>
    </w:p>
    <w:p>
      <w:pPr>
        <w:adjustRightInd w:val="0"/>
        <w:snapToGrid w:val="0"/>
        <w:spacing w:beforeLines="50" w:line="360" w:lineRule="auto"/>
        <w:ind w:left="793" w:hanging="793" w:hangingChars="376"/>
        <w:rPr>
          <w:rFonts w:ascii="宋体" w:hAnsi="宋体"/>
          <w:b/>
        </w:rPr>
      </w:pPr>
      <w:r>
        <w:rPr>
          <w:rFonts w:hint="eastAsia" w:ascii="宋体" w:hAnsi="宋体"/>
          <w:b/>
        </w:rPr>
        <w:t>二、竞争性磋商文件</w:t>
      </w:r>
    </w:p>
    <w:p>
      <w:pPr>
        <w:adjustRightInd w:val="0"/>
        <w:snapToGrid w:val="0"/>
        <w:spacing w:beforeLines="50" w:line="360" w:lineRule="auto"/>
        <w:rPr>
          <w:rFonts w:ascii="宋体" w:hAnsi="宋体"/>
          <w:b/>
          <w:bCs/>
        </w:rPr>
      </w:pPr>
      <w:r>
        <w:rPr>
          <w:rFonts w:hint="eastAsia" w:ascii="宋体" w:hAnsi="宋体"/>
          <w:b/>
          <w:bCs/>
        </w:rPr>
        <w:t>4．竞争性磋商文件的组成</w:t>
      </w:r>
    </w:p>
    <w:p>
      <w:pPr>
        <w:adjustRightInd w:val="0"/>
        <w:snapToGrid w:val="0"/>
        <w:spacing w:beforeLines="50" w:line="360" w:lineRule="auto"/>
        <w:ind w:firstLine="315" w:firstLineChars="150"/>
        <w:rPr>
          <w:rFonts w:ascii="宋体" w:hAnsi="宋体"/>
        </w:rPr>
      </w:pPr>
      <w:r>
        <w:rPr>
          <w:rFonts w:hint="eastAsia" w:ascii="宋体" w:hAnsi="宋体"/>
        </w:rPr>
        <w:t xml:space="preserve"> 3.1 竞争性磋商文件由竞争性磋商文件及在竞争性磋商过程中发出的</w:t>
      </w:r>
      <w:r>
        <w:rPr>
          <w:rFonts w:hint="eastAsia" w:ascii="宋体" w:hAnsi="宋体"/>
          <w:kern w:val="0"/>
          <w:lang w:val="zh-CN"/>
        </w:rPr>
        <w:t>澄清或者</w:t>
      </w:r>
      <w:r>
        <w:rPr>
          <w:rFonts w:hint="eastAsia" w:ascii="宋体" w:hAnsi="宋体"/>
        </w:rPr>
        <w:t>修改文件组成。</w:t>
      </w:r>
    </w:p>
    <w:p>
      <w:pPr>
        <w:adjustRightInd w:val="0"/>
        <w:snapToGrid w:val="0"/>
        <w:spacing w:beforeLines="50" w:line="360" w:lineRule="auto"/>
        <w:ind w:firstLine="420" w:firstLineChars="200"/>
        <w:rPr>
          <w:rFonts w:ascii="宋体" w:hAnsi="宋体"/>
        </w:rPr>
      </w:pPr>
      <w:r>
        <w:rPr>
          <w:rFonts w:hint="eastAsia" w:ascii="宋体" w:hAnsi="宋体"/>
        </w:rPr>
        <w:t>3.2供应商应仔细阅读</w:t>
      </w:r>
      <w:r>
        <w:rPr>
          <w:rFonts w:hint="eastAsia" w:ascii="宋体" w:hAnsi="宋体"/>
          <w:bCs/>
        </w:rPr>
        <w:t>竞争性磋商文件</w:t>
      </w:r>
      <w:r>
        <w:rPr>
          <w:rFonts w:hint="eastAsia" w:ascii="宋体" w:hAnsi="宋体"/>
        </w:rPr>
        <w:t>的全部内容，按照</w:t>
      </w:r>
      <w:r>
        <w:rPr>
          <w:rFonts w:hint="eastAsia" w:ascii="宋体" w:hAnsi="宋体"/>
          <w:bCs/>
        </w:rPr>
        <w:t>竞争性磋商文件</w:t>
      </w:r>
      <w:r>
        <w:rPr>
          <w:rFonts w:hint="eastAsia" w:ascii="宋体" w:hAnsi="宋体"/>
        </w:rPr>
        <w:t>要求编制竞争性磋商响应文件。任何对</w:t>
      </w:r>
      <w:r>
        <w:rPr>
          <w:rFonts w:hint="eastAsia" w:ascii="宋体" w:hAnsi="宋体"/>
          <w:bCs/>
        </w:rPr>
        <w:t>竞争性磋商文件</w:t>
      </w:r>
      <w:r>
        <w:rPr>
          <w:rFonts w:hint="eastAsia" w:ascii="宋体" w:hAnsi="宋体"/>
        </w:rPr>
        <w:t>的忽略或误解不能作为竞争性磋商响应文件存在缺陷或瑕疵的理由，其风险由供应商承担。</w:t>
      </w:r>
    </w:p>
    <w:p>
      <w:pPr>
        <w:adjustRightInd w:val="0"/>
        <w:snapToGrid w:val="0"/>
        <w:spacing w:beforeLines="50" w:line="360" w:lineRule="auto"/>
        <w:rPr>
          <w:rFonts w:ascii="宋体" w:hAnsi="宋体"/>
          <w:b/>
          <w:color w:val="000000"/>
          <w:u w:val="single"/>
        </w:rPr>
      </w:pPr>
      <w:r>
        <w:rPr>
          <w:rFonts w:hint="eastAsia" w:ascii="宋体" w:hAnsi="宋体"/>
          <w:b/>
          <w:u w:val="single"/>
        </w:rPr>
        <w:t>5.</w:t>
      </w:r>
      <w:r>
        <w:rPr>
          <w:rFonts w:hint="eastAsia" w:ascii="宋体" w:hAnsi="宋体"/>
          <w:b/>
          <w:color w:val="000000"/>
          <w:u w:val="single"/>
        </w:rPr>
        <w:t xml:space="preserve"> 偏离</w:t>
      </w:r>
    </w:p>
    <w:p>
      <w:pPr>
        <w:widowControl/>
        <w:adjustRightInd w:val="0"/>
        <w:snapToGrid w:val="0"/>
        <w:spacing w:before="50" w:line="360" w:lineRule="auto"/>
        <w:ind w:right="97" w:rightChars="46" w:firstLine="420" w:firstLineChars="200"/>
        <w:rPr>
          <w:rFonts w:ascii="宋体" w:hAnsi="宋体"/>
          <w:kern w:val="0"/>
          <w:u w:val="single"/>
        </w:rPr>
      </w:pPr>
      <w:r>
        <w:rPr>
          <w:rFonts w:hint="eastAsia" w:ascii="宋体" w:hAnsi="宋体"/>
          <w:bCs/>
          <w:kern w:val="0"/>
          <w:u w:val="single"/>
        </w:rPr>
        <w:t>5.1本条所称</w:t>
      </w:r>
      <w:r>
        <w:rPr>
          <w:rFonts w:hint="eastAsia" w:ascii="宋体" w:hAnsi="宋体"/>
          <w:kern w:val="0"/>
          <w:u w:val="single"/>
        </w:rPr>
        <w:t>偏离为竞争性磋商响应</w:t>
      </w:r>
      <w:r>
        <w:rPr>
          <w:rFonts w:hint="eastAsia" w:ascii="宋体" w:hAnsi="宋体"/>
          <w:bCs/>
          <w:kern w:val="0"/>
          <w:u w:val="single"/>
        </w:rPr>
        <w:t>文件</w:t>
      </w:r>
      <w:r>
        <w:rPr>
          <w:rFonts w:hint="eastAsia" w:ascii="宋体" w:hAnsi="宋体"/>
          <w:kern w:val="0"/>
          <w:u w:val="single"/>
        </w:rPr>
        <w:t>对</w:t>
      </w:r>
      <w:r>
        <w:rPr>
          <w:rFonts w:hint="eastAsia" w:ascii="宋体" w:hAnsi="宋体"/>
          <w:bCs/>
          <w:kern w:val="0"/>
          <w:u w:val="single"/>
        </w:rPr>
        <w:t>竞争性磋商文件</w:t>
      </w:r>
      <w:r>
        <w:rPr>
          <w:rFonts w:hint="eastAsia" w:ascii="宋体" w:hAnsi="宋体"/>
          <w:kern w:val="0"/>
          <w:u w:val="single"/>
        </w:rPr>
        <w:t>的偏离，即不满足、或不响应</w:t>
      </w:r>
      <w:r>
        <w:rPr>
          <w:rFonts w:hint="eastAsia" w:ascii="宋体" w:hAnsi="宋体"/>
          <w:bCs/>
          <w:kern w:val="0"/>
          <w:u w:val="single"/>
        </w:rPr>
        <w:t>竞争性磋商文件</w:t>
      </w:r>
      <w:r>
        <w:rPr>
          <w:rFonts w:hint="eastAsia" w:ascii="宋体" w:hAnsi="宋体"/>
          <w:kern w:val="0"/>
          <w:u w:val="single"/>
        </w:rPr>
        <w:t>的要求。偏离分为对</w:t>
      </w:r>
      <w:r>
        <w:rPr>
          <w:rFonts w:hint="eastAsia" w:ascii="宋体" w:hAnsi="宋体"/>
          <w:bCs/>
          <w:kern w:val="0"/>
          <w:u w:val="single"/>
        </w:rPr>
        <w:t>竞争性磋商文件</w:t>
      </w:r>
      <w:r>
        <w:rPr>
          <w:rFonts w:hint="eastAsia" w:ascii="宋体" w:hAnsi="宋体"/>
          <w:kern w:val="0"/>
          <w:u w:val="single"/>
        </w:rPr>
        <w:t>的实质性要求条款偏离和对</w:t>
      </w:r>
      <w:r>
        <w:rPr>
          <w:rFonts w:hint="eastAsia" w:ascii="宋体" w:hAnsi="宋体"/>
          <w:bCs/>
          <w:kern w:val="0"/>
          <w:u w:val="single"/>
        </w:rPr>
        <w:t>竞争性磋商文件</w:t>
      </w:r>
      <w:r>
        <w:rPr>
          <w:rFonts w:hint="eastAsia" w:ascii="宋体" w:hAnsi="宋体"/>
          <w:kern w:val="0"/>
          <w:u w:val="single"/>
        </w:rPr>
        <w:t>的一般商务和技术条款（参数）偏离。</w:t>
      </w:r>
    </w:p>
    <w:p>
      <w:pPr>
        <w:tabs>
          <w:tab w:val="left" w:pos="0"/>
        </w:tabs>
        <w:adjustRightInd w:val="0"/>
        <w:snapToGrid w:val="0"/>
        <w:spacing w:beforeLines="50" w:line="360" w:lineRule="auto"/>
        <w:ind w:firstLine="420" w:firstLineChars="200"/>
        <w:rPr>
          <w:rFonts w:ascii="宋体" w:hAnsi="宋体"/>
        </w:rPr>
      </w:pPr>
      <w:r>
        <w:rPr>
          <w:rFonts w:hint="eastAsia" w:ascii="宋体" w:hAnsi="宋体"/>
        </w:rPr>
        <w:t>5.2</w:t>
      </w:r>
      <w:r>
        <w:rPr>
          <w:rFonts w:hint="eastAsia" w:ascii="宋体" w:hAnsi="宋体"/>
          <w:bCs/>
        </w:rPr>
        <w:t>竞争性磋商文件</w:t>
      </w:r>
      <w:r>
        <w:rPr>
          <w:rFonts w:hint="eastAsia" w:ascii="宋体" w:hAnsi="宋体"/>
        </w:rPr>
        <w:t>中标注“*”符号的条款为实质性要求条款（即重要条款），对其中任何一条的偏离(即不满足、或不响应)，在评审时将其视为无效响应。</w:t>
      </w:r>
    </w:p>
    <w:p>
      <w:pPr>
        <w:adjustRightInd w:val="0"/>
        <w:snapToGrid w:val="0"/>
        <w:spacing w:beforeLines="50" w:line="360" w:lineRule="auto"/>
        <w:rPr>
          <w:rFonts w:ascii="宋体" w:hAnsi="宋体"/>
          <w:b/>
          <w:bCs/>
        </w:rPr>
      </w:pPr>
      <w:r>
        <w:rPr>
          <w:rFonts w:hint="eastAsia" w:ascii="宋体" w:hAnsi="宋体"/>
          <w:b/>
          <w:bCs/>
        </w:rPr>
        <w:t>6. 竞争性磋商文件的澄清、修改</w:t>
      </w:r>
    </w:p>
    <w:p>
      <w:pPr>
        <w:adjustRightInd w:val="0"/>
        <w:snapToGrid w:val="0"/>
        <w:spacing w:before="50" w:line="360" w:lineRule="auto"/>
        <w:ind w:right="-105" w:rightChars="-50" w:firstLine="420" w:firstLineChars="200"/>
        <w:rPr>
          <w:rFonts w:ascii="宋体" w:hAnsi="宋体"/>
        </w:rPr>
      </w:pPr>
      <w:r>
        <w:rPr>
          <w:rFonts w:hint="eastAsia" w:ascii="宋体" w:hAnsi="宋体"/>
          <w:color w:val="000000"/>
        </w:rPr>
        <w:t>6.1</w:t>
      </w:r>
      <w:r>
        <w:rPr>
          <w:rFonts w:hint="eastAsia" w:ascii="宋体" w:hAnsi="宋体"/>
        </w:rPr>
        <w:t>采购代理机构或采购人</w:t>
      </w:r>
      <w:r>
        <w:rPr>
          <w:rFonts w:hint="eastAsia" w:ascii="宋体" w:hAnsi="宋体"/>
          <w:kern w:val="0"/>
          <w:lang w:val="zh-CN"/>
        </w:rPr>
        <w:t>对已发出的</w:t>
      </w:r>
      <w:r>
        <w:rPr>
          <w:rFonts w:hint="eastAsia" w:ascii="宋体" w:hAnsi="宋体"/>
        </w:rPr>
        <w:t>竞争性磋商文件进行必要澄清或者修改的，应在规定</w:t>
      </w:r>
      <w:r>
        <w:rPr>
          <w:rFonts w:hint="eastAsia" w:ascii="宋体" w:hAnsi="宋体"/>
          <w:kern w:val="0"/>
          <w:lang w:val="zh-CN"/>
        </w:rPr>
        <w:t>递交竞争性磋商</w:t>
      </w:r>
      <w:r>
        <w:rPr>
          <w:rFonts w:hint="eastAsia" w:ascii="宋体" w:hAnsi="宋体"/>
        </w:rPr>
        <w:t>响应</w:t>
      </w:r>
      <w:r>
        <w:rPr>
          <w:rFonts w:hint="eastAsia" w:ascii="宋体" w:hAnsi="宋体"/>
          <w:kern w:val="0"/>
          <w:lang w:val="zh-CN"/>
        </w:rPr>
        <w:t>文件截止时间</w:t>
      </w:r>
      <w:r>
        <w:rPr>
          <w:rFonts w:hint="eastAsia" w:ascii="宋体" w:hAnsi="宋体"/>
        </w:rPr>
        <w:t>前通知被邀请参加竞争性磋商的供应商，采购人或代理机构不承担未及时关注的责任情形。澄清或修改的内容为竞争性磋商文件的组成部分。</w:t>
      </w:r>
    </w:p>
    <w:p>
      <w:pPr>
        <w:autoSpaceDE w:val="0"/>
        <w:autoSpaceDN w:val="0"/>
        <w:adjustRightInd w:val="0"/>
        <w:snapToGrid w:val="0"/>
        <w:spacing w:beforeLines="50" w:line="360" w:lineRule="auto"/>
        <w:ind w:firstLine="420" w:firstLineChars="200"/>
        <w:jc w:val="left"/>
        <w:rPr>
          <w:rFonts w:ascii="宋体" w:hAnsi="宋体"/>
          <w:kern w:val="0"/>
          <w:lang w:val="zh-CN"/>
        </w:rPr>
      </w:pPr>
      <w:r>
        <w:rPr>
          <w:rFonts w:hint="eastAsia" w:ascii="宋体" w:hAnsi="宋体"/>
        </w:rPr>
        <w:t>6.2 发出澄清或修改文件的日期距规定的</w:t>
      </w:r>
      <w:r>
        <w:rPr>
          <w:rFonts w:hint="eastAsia" w:ascii="宋体" w:hAnsi="宋体"/>
          <w:kern w:val="0"/>
          <w:lang w:val="zh-CN"/>
        </w:rPr>
        <w:t>递交竞争性磋商</w:t>
      </w:r>
      <w:r>
        <w:rPr>
          <w:rFonts w:hint="eastAsia" w:ascii="宋体" w:hAnsi="宋体"/>
        </w:rPr>
        <w:t>响应</w:t>
      </w:r>
      <w:r>
        <w:rPr>
          <w:rFonts w:hint="eastAsia" w:ascii="宋体" w:hAnsi="宋体"/>
          <w:kern w:val="0"/>
          <w:lang w:val="zh-CN"/>
        </w:rPr>
        <w:t>文件截止时间</w:t>
      </w:r>
      <w:r>
        <w:rPr>
          <w:rFonts w:hint="eastAsia" w:ascii="宋体" w:hAnsi="宋体"/>
        </w:rPr>
        <w:t>不足</w:t>
      </w:r>
      <w:r>
        <w:rPr>
          <w:rFonts w:hint="eastAsia" w:ascii="宋体" w:hAnsi="宋体"/>
          <w:bCs/>
        </w:rPr>
        <w:t>三个工作</w:t>
      </w:r>
      <w:r>
        <w:rPr>
          <w:rFonts w:hint="eastAsia" w:ascii="宋体" w:hAnsi="宋体"/>
        </w:rPr>
        <w:t>日的，应当顺延</w:t>
      </w:r>
      <w:r>
        <w:rPr>
          <w:rFonts w:hint="eastAsia" w:ascii="宋体" w:hAnsi="宋体"/>
          <w:kern w:val="0"/>
          <w:lang w:val="zh-CN"/>
        </w:rPr>
        <w:t>递交竞争性磋商</w:t>
      </w:r>
      <w:r>
        <w:rPr>
          <w:rFonts w:hint="eastAsia" w:ascii="宋体" w:hAnsi="宋体"/>
        </w:rPr>
        <w:t>响应</w:t>
      </w:r>
      <w:r>
        <w:rPr>
          <w:rFonts w:hint="eastAsia" w:ascii="宋体" w:hAnsi="宋体"/>
          <w:kern w:val="0"/>
          <w:lang w:val="zh-CN"/>
        </w:rPr>
        <w:t>文件截止时间</w:t>
      </w:r>
      <w:r>
        <w:rPr>
          <w:rFonts w:hint="eastAsia" w:ascii="宋体" w:hAnsi="宋体"/>
        </w:rPr>
        <w:t>。</w:t>
      </w:r>
    </w:p>
    <w:p>
      <w:pPr>
        <w:adjustRightInd w:val="0"/>
        <w:snapToGrid w:val="0"/>
        <w:spacing w:beforeLines="50" w:line="360" w:lineRule="auto"/>
        <w:rPr>
          <w:rFonts w:ascii="宋体" w:hAnsi="宋体"/>
          <w:b/>
        </w:rPr>
      </w:pPr>
      <w:r>
        <w:rPr>
          <w:rFonts w:hint="eastAsia" w:ascii="宋体" w:hAnsi="宋体"/>
          <w:b/>
        </w:rPr>
        <w:t>三、竞争性磋商响应文件</w:t>
      </w:r>
    </w:p>
    <w:p>
      <w:pPr>
        <w:adjustRightInd w:val="0"/>
        <w:snapToGrid w:val="0"/>
        <w:spacing w:beforeLines="50" w:line="360" w:lineRule="auto"/>
        <w:rPr>
          <w:rFonts w:ascii="宋体" w:hAnsi="宋体"/>
          <w:b/>
          <w:bCs/>
        </w:rPr>
      </w:pPr>
      <w:r>
        <w:rPr>
          <w:rFonts w:hint="eastAsia" w:ascii="宋体" w:hAnsi="宋体"/>
          <w:b/>
          <w:bCs/>
        </w:rPr>
        <w:t>7.一般要求</w:t>
      </w:r>
    </w:p>
    <w:p>
      <w:pPr>
        <w:autoSpaceDE w:val="0"/>
        <w:autoSpaceDN w:val="0"/>
        <w:adjustRightInd w:val="0"/>
        <w:snapToGrid w:val="0"/>
        <w:spacing w:beforeLines="50" w:line="360" w:lineRule="auto"/>
        <w:ind w:firstLine="420" w:firstLineChars="200"/>
        <w:rPr>
          <w:rFonts w:ascii="宋体" w:hAnsi="宋体" w:cs="宋体"/>
          <w:kern w:val="0"/>
          <w:lang w:val="zh-CN"/>
        </w:rPr>
      </w:pPr>
      <w:r>
        <w:rPr>
          <w:rFonts w:hint="eastAsia" w:ascii="宋体" w:hAnsi="宋体"/>
          <w:bCs/>
        </w:rPr>
        <w:t>7.1 供应商应仔细阅读竞争性磋商文件的所有内容，按竞争性磋商文件的要求</w:t>
      </w:r>
      <w:r>
        <w:rPr>
          <w:rFonts w:hint="eastAsia" w:ascii="宋体" w:hAnsi="宋体" w:cs="宋体"/>
          <w:kern w:val="0"/>
          <w:lang w:val="zh-CN"/>
        </w:rPr>
        <w:t>依法真实</w:t>
      </w:r>
      <w:r>
        <w:rPr>
          <w:rFonts w:hint="eastAsia" w:ascii="宋体" w:hAnsi="宋体"/>
          <w:bCs/>
        </w:rPr>
        <w:t>编制竞争性磋商</w:t>
      </w:r>
      <w:r>
        <w:rPr>
          <w:rFonts w:hint="eastAsia" w:ascii="宋体" w:hAnsi="宋体"/>
        </w:rPr>
        <w:t>响应</w:t>
      </w:r>
      <w:r>
        <w:rPr>
          <w:rFonts w:hint="eastAsia" w:ascii="宋体" w:hAnsi="宋体"/>
          <w:bCs/>
        </w:rPr>
        <w:t>文件，</w:t>
      </w:r>
      <w:r>
        <w:rPr>
          <w:rFonts w:hint="eastAsia" w:ascii="宋体" w:hAnsi="宋体" w:cs="宋体"/>
          <w:kern w:val="0"/>
          <w:lang w:val="zh-CN"/>
        </w:rPr>
        <w:t>并对其递交的竞争性磋商</w:t>
      </w:r>
      <w:r>
        <w:rPr>
          <w:rFonts w:hint="eastAsia" w:ascii="宋体" w:hAnsi="宋体"/>
        </w:rPr>
        <w:t>响应</w:t>
      </w:r>
      <w:r>
        <w:rPr>
          <w:rFonts w:hint="eastAsia" w:ascii="宋体" w:hAnsi="宋体" w:cs="宋体"/>
          <w:kern w:val="0"/>
          <w:lang w:val="zh-CN"/>
        </w:rPr>
        <w:t>文件承担法律责任。</w:t>
      </w:r>
    </w:p>
    <w:p>
      <w:pPr>
        <w:autoSpaceDE w:val="0"/>
        <w:autoSpaceDN w:val="0"/>
        <w:adjustRightInd w:val="0"/>
        <w:snapToGrid w:val="0"/>
        <w:spacing w:beforeLines="50" w:line="360" w:lineRule="auto"/>
        <w:ind w:firstLine="420" w:firstLineChars="200"/>
        <w:rPr>
          <w:rFonts w:ascii="宋体" w:hAnsi="宋体"/>
          <w:bCs/>
        </w:rPr>
      </w:pPr>
      <w:r>
        <w:rPr>
          <w:rFonts w:hint="eastAsia" w:ascii="宋体" w:hAnsi="宋体"/>
          <w:bCs/>
        </w:rPr>
        <w:t xml:space="preserve">7.2 </w:t>
      </w:r>
      <w:r>
        <w:rPr>
          <w:rFonts w:hint="eastAsia" w:ascii="宋体" w:hAnsi="宋体"/>
        </w:rPr>
        <w:t>供应商提交的竞争性磋商响应文件及供应商与采购代理机构、评标委员会就有关竞争性磋商的所有来往函电均使用中文。供应商可以提交其它语言的资料，但有关响应内容应附中文注释，在有差异时以中文为准。</w:t>
      </w:r>
    </w:p>
    <w:p>
      <w:pPr>
        <w:adjustRightInd w:val="0"/>
        <w:snapToGrid w:val="0"/>
        <w:spacing w:beforeLines="50" w:line="360" w:lineRule="auto"/>
        <w:ind w:firstLine="420" w:firstLineChars="200"/>
        <w:rPr>
          <w:rFonts w:ascii="宋体" w:hAnsi="宋体"/>
        </w:rPr>
      </w:pPr>
      <w:r>
        <w:rPr>
          <w:rFonts w:hint="eastAsia" w:ascii="宋体" w:hAnsi="宋体"/>
          <w:bCs/>
        </w:rPr>
        <w:t xml:space="preserve">7.3 </w:t>
      </w:r>
      <w:r>
        <w:rPr>
          <w:rFonts w:hint="eastAsia" w:ascii="宋体" w:hAnsi="宋体"/>
        </w:rPr>
        <w:t>计量单位应使用我国法定计量单位。</w:t>
      </w:r>
    </w:p>
    <w:p>
      <w:pPr>
        <w:adjustRightInd w:val="0"/>
        <w:snapToGrid w:val="0"/>
        <w:spacing w:beforeLines="50" w:line="360" w:lineRule="auto"/>
        <w:ind w:firstLine="420" w:firstLineChars="200"/>
        <w:rPr>
          <w:rFonts w:ascii="宋体" w:hAnsi="宋体"/>
        </w:rPr>
      </w:pPr>
      <w:r>
        <w:rPr>
          <w:rFonts w:hint="eastAsia" w:ascii="宋体" w:hAnsi="宋体"/>
        </w:rPr>
        <w:t>7.4 竞争性磋商响应文件应采用书面形式，电报、传真形式的竞争性磋商响应文件概不接受。</w:t>
      </w:r>
    </w:p>
    <w:p>
      <w:pPr>
        <w:adjustRightInd w:val="0"/>
        <w:snapToGrid w:val="0"/>
        <w:spacing w:beforeLines="50" w:line="360" w:lineRule="auto"/>
        <w:ind w:firstLine="420" w:firstLineChars="200"/>
        <w:rPr>
          <w:rFonts w:ascii="宋体" w:hAnsi="宋体"/>
        </w:rPr>
      </w:pPr>
      <w:r>
        <w:rPr>
          <w:rFonts w:hint="eastAsia" w:ascii="宋体" w:hAnsi="宋体"/>
        </w:rPr>
        <w:t>7.5 供应商应按竞争性磋商文件中提供的竞争性磋商响应</w:t>
      </w:r>
      <w:r>
        <w:rPr>
          <w:rFonts w:hint="eastAsia" w:ascii="宋体" w:hAnsi="宋体"/>
          <w:color w:val="000000"/>
        </w:rPr>
        <w:t>文件</w:t>
      </w:r>
      <w:r>
        <w:rPr>
          <w:rFonts w:hint="eastAsia" w:ascii="宋体" w:hAnsi="宋体"/>
        </w:rPr>
        <w:t>格式填写。</w:t>
      </w:r>
    </w:p>
    <w:p>
      <w:pPr>
        <w:adjustRightInd w:val="0"/>
        <w:snapToGrid w:val="0"/>
        <w:spacing w:beforeLines="50" w:line="360" w:lineRule="auto"/>
        <w:rPr>
          <w:rFonts w:ascii="宋体" w:hAnsi="宋体"/>
          <w:b/>
          <w:bCs/>
        </w:rPr>
      </w:pPr>
      <w:r>
        <w:rPr>
          <w:rFonts w:hint="eastAsia" w:ascii="宋体" w:hAnsi="宋体"/>
          <w:b/>
          <w:bCs/>
        </w:rPr>
        <w:t>8.</w:t>
      </w:r>
      <w:r>
        <w:rPr>
          <w:rFonts w:hint="eastAsia" w:ascii="宋体" w:hAnsi="宋体"/>
          <w:b/>
        </w:rPr>
        <w:t>竞争性磋商响应文件</w:t>
      </w:r>
      <w:r>
        <w:rPr>
          <w:rFonts w:hint="eastAsia" w:ascii="宋体" w:hAnsi="宋体"/>
          <w:b/>
          <w:bCs/>
        </w:rPr>
        <w:t>的组成</w:t>
      </w:r>
    </w:p>
    <w:p>
      <w:pPr>
        <w:adjustRightInd w:val="0"/>
        <w:snapToGrid w:val="0"/>
        <w:spacing w:beforeLines="50" w:line="360" w:lineRule="auto"/>
        <w:ind w:firstLine="420" w:firstLineChars="200"/>
        <w:rPr>
          <w:rFonts w:hAnsi="宋体"/>
        </w:rPr>
      </w:pPr>
      <w:r>
        <w:rPr>
          <w:rFonts w:hint="eastAsia" w:ascii="宋体" w:hAnsi="宋体"/>
        </w:rPr>
        <w:t>8.1 竞争性磋商响应文件</w:t>
      </w:r>
      <w:r>
        <w:rPr>
          <w:rFonts w:hint="eastAsia" w:hAnsi="宋体"/>
        </w:rPr>
        <w:t>包括下列内容：</w:t>
      </w:r>
    </w:p>
    <w:p>
      <w:pPr>
        <w:adjustRightInd w:val="0"/>
        <w:snapToGrid w:val="0"/>
        <w:spacing w:beforeLines="50" w:line="360" w:lineRule="auto"/>
        <w:ind w:firstLine="420" w:firstLineChars="200"/>
        <w:rPr>
          <w:rFonts w:ascii="宋体" w:hAnsi="宋体"/>
        </w:rPr>
      </w:pPr>
      <w:r>
        <w:rPr>
          <w:rFonts w:hint="eastAsia" w:ascii="宋体" w:hAnsi="宋体"/>
        </w:rPr>
        <w:t>（1）竞争性磋商响应声明；</w:t>
      </w:r>
    </w:p>
    <w:p>
      <w:pPr>
        <w:adjustRightInd w:val="0"/>
        <w:snapToGrid w:val="0"/>
        <w:spacing w:beforeLines="50" w:line="360" w:lineRule="auto"/>
        <w:ind w:firstLine="420" w:firstLineChars="200"/>
        <w:rPr>
          <w:rFonts w:ascii="宋体" w:hAnsi="宋体"/>
        </w:rPr>
      </w:pPr>
      <w:r>
        <w:rPr>
          <w:rFonts w:hint="eastAsia" w:ascii="宋体" w:hAnsi="宋体"/>
        </w:rPr>
        <w:t>（2）报价一览表；</w:t>
      </w:r>
    </w:p>
    <w:p>
      <w:pPr>
        <w:adjustRightInd w:val="0"/>
        <w:snapToGrid w:val="0"/>
        <w:spacing w:beforeLines="50" w:line="360" w:lineRule="auto"/>
        <w:ind w:firstLine="420" w:firstLineChars="200"/>
        <w:rPr>
          <w:rFonts w:ascii="宋体" w:hAnsi="宋体"/>
        </w:rPr>
      </w:pPr>
      <w:r>
        <w:rPr>
          <w:rFonts w:hint="eastAsia" w:ascii="宋体" w:hAnsi="宋体"/>
        </w:rPr>
        <w:t>（3）分项报价表；</w:t>
      </w:r>
    </w:p>
    <w:p>
      <w:pPr>
        <w:adjustRightInd w:val="0"/>
        <w:snapToGrid w:val="0"/>
        <w:spacing w:beforeLines="50" w:line="360" w:lineRule="auto"/>
        <w:ind w:firstLine="420" w:firstLineChars="200"/>
        <w:rPr>
          <w:rFonts w:ascii="宋体" w:hAnsi="宋体"/>
        </w:rPr>
      </w:pPr>
      <w:r>
        <w:rPr>
          <w:rFonts w:hint="eastAsia" w:ascii="宋体" w:hAnsi="宋体"/>
        </w:rPr>
        <w:t>（4）商务响应与偏离表；</w:t>
      </w:r>
    </w:p>
    <w:p>
      <w:pPr>
        <w:adjustRightInd w:val="0"/>
        <w:snapToGrid w:val="0"/>
        <w:spacing w:beforeLines="50" w:line="360" w:lineRule="auto"/>
        <w:ind w:firstLine="420" w:firstLineChars="200"/>
        <w:rPr>
          <w:rFonts w:ascii="宋体" w:hAnsi="宋体"/>
        </w:rPr>
      </w:pPr>
      <w:r>
        <w:rPr>
          <w:rFonts w:hint="eastAsia" w:ascii="宋体" w:hAnsi="宋体"/>
        </w:rPr>
        <w:t>（5）技术响应与偏离表；</w:t>
      </w:r>
    </w:p>
    <w:p>
      <w:pPr>
        <w:adjustRightInd w:val="0"/>
        <w:snapToGrid w:val="0"/>
        <w:spacing w:beforeLines="50" w:line="360" w:lineRule="auto"/>
        <w:ind w:firstLine="420" w:firstLineChars="200"/>
        <w:rPr>
          <w:rFonts w:ascii="宋体" w:hAnsi="宋体"/>
          <w:bCs/>
          <w:color w:val="000000"/>
        </w:rPr>
      </w:pPr>
      <w:r>
        <w:rPr>
          <w:rFonts w:hint="eastAsia" w:ascii="宋体" w:hAnsi="宋体"/>
        </w:rPr>
        <w:t>（6）资格证明文件；</w:t>
      </w:r>
    </w:p>
    <w:p>
      <w:pPr>
        <w:adjustRightInd w:val="0"/>
        <w:snapToGrid w:val="0"/>
        <w:spacing w:beforeLines="50" w:line="360" w:lineRule="auto"/>
        <w:ind w:firstLine="420" w:firstLineChars="200"/>
        <w:rPr>
          <w:rFonts w:ascii="宋体" w:hAnsi="宋体"/>
        </w:rPr>
      </w:pPr>
      <w:r>
        <w:rPr>
          <w:rFonts w:hint="eastAsia" w:ascii="宋体" w:hAnsi="宋体"/>
        </w:rPr>
        <w:t>（7）供应商认为需提供的其它资料。</w:t>
      </w:r>
    </w:p>
    <w:p>
      <w:pPr>
        <w:adjustRightInd w:val="0"/>
        <w:snapToGrid w:val="0"/>
        <w:spacing w:beforeLines="50" w:line="360" w:lineRule="auto"/>
        <w:ind w:firstLine="420" w:firstLineChars="200"/>
        <w:rPr>
          <w:rFonts w:ascii="宋体" w:hAnsi="宋体"/>
          <w:color w:val="000000"/>
        </w:rPr>
      </w:pPr>
      <w:r>
        <w:rPr>
          <w:rFonts w:hint="eastAsia" w:ascii="宋体" w:hAnsi="宋体"/>
        </w:rPr>
        <w:t xml:space="preserve">8.2 </w:t>
      </w:r>
      <w:r>
        <w:rPr>
          <w:rFonts w:hint="eastAsia" w:ascii="宋体" w:hAnsi="宋体"/>
          <w:color w:val="000000"/>
        </w:rPr>
        <w:t>根据《中华人民共和国政府采购法》第四十二条的规定，</w:t>
      </w:r>
      <w:r>
        <w:rPr>
          <w:rFonts w:hint="eastAsia" w:ascii="宋体" w:hAnsi="宋体"/>
        </w:rPr>
        <w:t>供应商</w:t>
      </w:r>
      <w:r>
        <w:rPr>
          <w:rFonts w:hint="eastAsia" w:ascii="宋体" w:hAnsi="宋体"/>
          <w:color w:val="000000"/>
        </w:rPr>
        <w:t>无论成交与否，其竞争性磋商</w:t>
      </w:r>
      <w:r>
        <w:rPr>
          <w:rFonts w:hint="eastAsia" w:ascii="宋体" w:hAnsi="宋体"/>
        </w:rPr>
        <w:t>响应文件</w:t>
      </w:r>
      <w:r>
        <w:rPr>
          <w:rFonts w:hint="eastAsia" w:ascii="宋体" w:hAnsi="宋体"/>
          <w:color w:val="000000"/>
        </w:rPr>
        <w:t>不予退还。</w:t>
      </w:r>
    </w:p>
    <w:p>
      <w:pPr>
        <w:adjustRightInd w:val="0"/>
        <w:snapToGrid w:val="0"/>
        <w:spacing w:beforeLines="50" w:line="360" w:lineRule="auto"/>
        <w:rPr>
          <w:rFonts w:ascii="宋体" w:hAnsi="宋体"/>
          <w:b/>
          <w:bCs/>
        </w:rPr>
      </w:pPr>
      <w:r>
        <w:rPr>
          <w:rFonts w:hint="eastAsia" w:ascii="宋体" w:hAnsi="宋体"/>
          <w:b/>
          <w:bCs/>
        </w:rPr>
        <w:t>9.报价</w:t>
      </w:r>
    </w:p>
    <w:p>
      <w:pPr>
        <w:adjustRightInd w:val="0"/>
        <w:snapToGrid w:val="0"/>
        <w:spacing w:beforeLines="50" w:line="360" w:lineRule="auto"/>
        <w:ind w:firstLine="420" w:firstLineChars="200"/>
        <w:rPr>
          <w:rFonts w:ascii="宋体" w:hAnsi="宋体"/>
        </w:rPr>
      </w:pPr>
      <w:r>
        <w:rPr>
          <w:rFonts w:hint="eastAsia" w:ascii="宋体" w:hAnsi="宋体"/>
        </w:rPr>
        <w:t>9.1供应商应当根据竞争性磋商文件要求和范围，以</w:t>
      </w:r>
      <w:r>
        <w:rPr>
          <w:rFonts w:hint="eastAsia" w:ascii="宋体" w:hAnsi="宋体"/>
          <w:bCs/>
        </w:rPr>
        <w:t>人民币</w:t>
      </w:r>
      <w:r>
        <w:rPr>
          <w:rFonts w:hint="eastAsia" w:ascii="宋体" w:hAnsi="宋体"/>
        </w:rPr>
        <w:t>报价。</w:t>
      </w:r>
    </w:p>
    <w:p>
      <w:pPr>
        <w:adjustRightInd w:val="0"/>
        <w:snapToGrid w:val="0"/>
        <w:spacing w:beforeLines="50" w:line="360" w:lineRule="auto"/>
        <w:ind w:firstLine="420" w:firstLineChars="200"/>
        <w:rPr>
          <w:rFonts w:ascii="宋体" w:hAnsi="宋体"/>
        </w:rPr>
      </w:pPr>
      <w:r>
        <w:rPr>
          <w:rFonts w:hint="eastAsia" w:ascii="宋体" w:hAnsi="宋体"/>
        </w:rPr>
        <w:t>9.2竞争性磋商响应文件中标明的价格在合同执行过程中是固定不变的，不得以任何理由予以变更。以可变动价格提交的报价将被认为是非实质响应采购要求而被拒绝。</w:t>
      </w:r>
    </w:p>
    <w:p>
      <w:pPr>
        <w:adjustRightInd w:val="0"/>
        <w:snapToGrid w:val="0"/>
        <w:spacing w:beforeLines="50" w:line="360" w:lineRule="auto"/>
        <w:ind w:firstLine="420" w:firstLineChars="200"/>
        <w:jc w:val="left"/>
        <w:rPr>
          <w:rFonts w:ascii="宋体" w:hAnsi="宋体"/>
        </w:rPr>
      </w:pPr>
      <w:r>
        <w:rPr>
          <w:rFonts w:hint="eastAsia" w:ascii="宋体" w:hAnsi="宋体"/>
        </w:rPr>
        <w:t>9.3除</w:t>
      </w:r>
      <w:r>
        <w:rPr>
          <w:rFonts w:hint="eastAsia" w:ascii="宋体" w:hAnsi="宋体"/>
          <w:b/>
        </w:rPr>
        <w:t>供应商须知前附表</w:t>
      </w:r>
      <w:r>
        <w:rPr>
          <w:rFonts w:hint="eastAsia" w:ascii="宋体" w:hAnsi="宋体"/>
        </w:rPr>
        <w:t>中另有规定外，本次采购不接受备选方案报价。本项规定接受备选方案的：</w:t>
      </w:r>
    </w:p>
    <w:p>
      <w:pPr>
        <w:adjustRightInd w:val="0"/>
        <w:snapToGrid w:val="0"/>
        <w:spacing w:beforeLines="50" w:line="360" w:lineRule="auto"/>
        <w:ind w:firstLine="420" w:firstLineChars="200"/>
        <w:jc w:val="left"/>
        <w:rPr>
          <w:rFonts w:ascii="宋体" w:hAnsi="宋体"/>
          <w:color w:val="000000"/>
        </w:rPr>
      </w:pPr>
      <w:r>
        <w:rPr>
          <w:rFonts w:hint="eastAsia" w:ascii="宋体" w:hAnsi="宋体"/>
        </w:rPr>
        <w:t>（1）</w:t>
      </w:r>
      <w:r>
        <w:rPr>
          <w:rFonts w:hint="eastAsia" w:ascii="宋体" w:hAnsi="宋体" w:cs="宋体"/>
          <w:kern w:val="0"/>
          <w:lang w:val="zh-CN"/>
        </w:rPr>
        <w:t>供应商</w:t>
      </w:r>
      <w:r>
        <w:rPr>
          <w:rFonts w:hint="eastAsia" w:ascii="宋体" w:hAnsi="宋体"/>
          <w:color w:val="000000"/>
        </w:rPr>
        <w:t>在竞争性磋商</w:t>
      </w:r>
      <w:r>
        <w:rPr>
          <w:rFonts w:hint="eastAsia" w:ascii="宋体" w:hAnsi="宋体"/>
        </w:rPr>
        <w:t>响应</w:t>
      </w:r>
      <w:r>
        <w:rPr>
          <w:rFonts w:hint="eastAsia" w:ascii="宋体" w:hAnsi="宋体"/>
          <w:color w:val="000000"/>
        </w:rPr>
        <w:t>文件中只能提交一个备选方案并注明主选方案，且备选方案的报价不得高于主选方案。</w:t>
      </w:r>
      <w:r>
        <w:rPr>
          <w:rFonts w:hint="eastAsia" w:ascii="宋体" w:hAnsi="宋体"/>
          <w:bCs/>
          <w:color w:val="000000"/>
        </w:rPr>
        <w:t>如果</w:t>
      </w:r>
      <w:r>
        <w:rPr>
          <w:rFonts w:hint="eastAsia" w:ascii="宋体" w:hAnsi="宋体" w:cs="宋体"/>
          <w:kern w:val="0"/>
          <w:lang w:val="zh-CN"/>
        </w:rPr>
        <w:t>供应商</w:t>
      </w:r>
      <w:r>
        <w:rPr>
          <w:rFonts w:hint="eastAsia" w:ascii="宋体" w:hAnsi="宋体"/>
          <w:color w:val="000000"/>
        </w:rPr>
        <w:t>在竞争性磋商</w:t>
      </w:r>
      <w:r>
        <w:rPr>
          <w:rFonts w:hint="eastAsia" w:ascii="宋体" w:hAnsi="宋体"/>
        </w:rPr>
        <w:t>响应</w:t>
      </w:r>
      <w:r>
        <w:rPr>
          <w:rFonts w:hint="eastAsia" w:ascii="宋体" w:hAnsi="宋体"/>
          <w:color w:val="000000"/>
        </w:rPr>
        <w:t>文件中提交两个以上备选方案或未注明何为主选方案，该竞争性磋商</w:t>
      </w:r>
      <w:r>
        <w:rPr>
          <w:rFonts w:hint="eastAsia" w:ascii="宋体" w:hAnsi="宋体"/>
        </w:rPr>
        <w:t>响应</w:t>
      </w:r>
      <w:r>
        <w:rPr>
          <w:rFonts w:hint="eastAsia" w:ascii="宋体" w:hAnsi="宋体"/>
          <w:color w:val="000000"/>
        </w:rPr>
        <w:t>文件将被视为非</w:t>
      </w:r>
      <w:r>
        <w:rPr>
          <w:rFonts w:hint="eastAsia" w:ascii="宋体" w:hAnsi="宋体"/>
          <w:bCs/>
          <w:color w:val="000000"/>
        </w:rPr>
        <w:t>实质性响应</w:t>
      </w:r>
      <w:r>
        <w:rPr>
          <w:rFonts w:hint="eastAsia" w:ascii="宋体" w:hAnsi="宋体"/>
          <w:color w:val="000000"/>
        </w:rPr>
        <w:t>而被拒绝。</w:t>
      </w:r>
    </w:p>
    <w:p>
      <w:pPr>
        <w:adjustRightInd w:val="0"/>
        <w:snapToGrid w:val="0"/>
        <w:spacing w:beforeLines="50" w:line="360" w:lineRule="auto"/>
        <w:ind w:firstLine="420" w:firstLineChars="200"/>
        <w:rPr>
          <w:rFonts w:ascii="宋体" w:hAnsi="宋体"/>
        </w:rPr>
      </w:pPr>
      <w:r>
        <w:rPr>
          <w:rFonts w:hint="eastAsia" w:ascii="宋体" w:hAnsi="宋体"/>
        </w:rPr>
        <w:t>（2）</w:t>
      </w:r>
      <w:r>
        <w:rPr>
          <w:rFonts w:hint="eastAsia" w:ascii="宋体" w:hAnsi="宋体"/>
          <w:color w:val="000000"/>
        </w:rPr>
        <w:t>在评审时，</w:t>
      </w:r>
      <w:r>
        <w:rPr>
          <w:rFonts w:hint="eastAsia" w:ascii="宋体" w:hAnsi="宋体"/>
        </w:rPr>
        <w:t>评标委员会仅对</w:t>
      </w:r>
      <w:r>
        <w:rPr>
          <w:rFonts w:hint="eastAsia" w:ascii="宋体" w:hAnsi="宋体"/>
          <w:color w:val="000000"/>
        </w:rPr>
        <w:t>主选方案</w:t>
      </w:r>
      <w:r>
        <w:rPr>
          <w:rFonts w:hint="eastAsia" w:ascii="宋体" w:hAnsi="宋体"/>
        </w:rPr>
        <w:t>进行</w:t>
      </w:r>
      <w:r>
        <w:rPr>
          <w:rFonts w:hint="eastAsia" w:ascii="宋体" w:hAnsi="宋体"/>
          <w:color w:val="000000"/>
        </w:rPr>
        <w:t>评审。</w:t>
      </w:r>
    </w:p>
    <w:p>
      <w:pPr>
        <w:adjustRightInd w:val="0"/>
        <w:snapToGrid w:val="0"/>
        <w:spacing w:beforeLines="50" w:line="360" w:lineRule="auto"/>
        <w:ind w:firstLine="420" w:firstLineChars="200"/>
        <w:rPr>
          <w:rFonts w:ascii="宋体" w:hAnsi="宋体"/>
        </w:rPr>
      </w:pPr>
      <w:r>
        <w:rPr>
          <w:rFonts w:hint="eastAsia" w:ascii="宋体" w:hAnsi="宋体"/>
        </w:rPr>
        <w:t>9.4采购项目预算见</w:t>
      </w:r>
      <w:r>
        <w:rPr>
          <w:rFonts w:hint="eastAsia" w:ascii="宋体" w:hAnsi="宋体"/>
          <w:b/>
        </w:rPr>
        <w:t>供应商须知前附表</w:t>
      </w:r>
      <w:r>
        <w:rPr>
          <w:rFonts w:hint="eastAsia" w:ascii="宋体" w:hAnsi="宋体"/>
        </w:rPr>
        <w:t>，</w:t>
      </w:r>
      <w:r>
        <w:rPr>
          <w:rFonts w:hint="eastAsia" w:ascii="宋体" w:hAnsi="宋体" w:cs="宋体"/>
          <w:kern w:val="0"/>
          <w:lang w:val="zh-CN"/>
        </w:rPr>
        <w:t>供应商</w:t>
      </w:r>
      <w:r>
        <w:rPr>
          <w:rFonts w:hint="eastAsia" w:ascii="宋体" w:hAnsi="宋体"/>
        </w:rPr>
        <w:t>的报价不得超过采购项目预算。</w:t>
      </w:r>
    </w:p>
    <w:p>
      <w:pPr>
        <w:adjustRightInd w:val="0"/>
        <w:snapToGrid w:val="0"/>
        <w:spacing w:beforeLines="50" w:line="360" w:lineRule="auto"/>
        <w:rPr>
          <w:rFonts w:ascii="宋体" w:hAnsi="宋体"/>
          <w:b/>
          <w:bCs/>
        </w:rPr>
      </w:pPr>
      <w:r>
        <w:rPr>
          <w:rFonts w:hint="eastAsia" w:ascii="宋体" w:hAnsi="宋体"/>
          <w:b/>
          <w:bCs/>
        </w:rPr>
        <w:t>10.供应商符合竞争性磋商文件规定的证明文件</w:t>
      </w:r>
    </w:p>
    <w:p>
      <w:pPr>
        <w:adjustRightInd w:val="0"/>
        <w:snapToGrid w:val="0"/>
        <w:spacing w:beforeLines="50" w:line="360" w:lineRule="auto"/>
        <w:ind w:firstLine="420" w:firstLineChars="200"/>
        <w:rPr>
          <w:rFonts w:ascii="宋体" w:hAnsi="宋体" w:cs="宋体"/>
          <w:kern w:val="0"/>
          <w:lang w:val="zh-CN"/>
        </w:rPr>
      </w:pPr>
      <w:r>
        <w:rPr>
          <w:rFonts w:hint="eastAsia" w:ascii="宋体" w:hAnsi="宋体" w:cs="宋体"/>
          <w:kern w:val="0"/>
          <w:lang w:val="zh-CN"/>
        </w:rPr>
        <w:t>10.1供应商应</w:t>
      </w:r>
      <w:r>
        <w:rPr>
          <w:rFonts w:hint="eastAsia" w:ascii="宋体" w:hAnsi="宋体"/>
        </w:rPr>
        <w:t>提供</w:t>
      </w:r>
      <w:r>
        <w:rPr>
          <w:rFonts w:hint="eastAsia" w:ascii="宋体" w:hAnsi="宋体" w:cs="宋体"/>
          <w:kern w:val="0"/>
          <w:lang w:val="zh-CN"/>
        </w:rPr>
        <w:t>符合竞争性磋商文件</w:t>
      </w:r>
      <w:r>
        <w:rPr>
          <w:rFonts w:hint="eastAsia" w:ascii="宋体" w:hAnsi="宋体"/>
        </w:rPr>
        <w:t>规定的资格条件要求</w:t>
      </w:r>
      <w:r>
        <w:rPr>
          <w:rFonts w:hint="eastAsia" w:ascii="宋体" w:hAnsi="宋体" w:cs="宋体"/>
          <w:kern w:val="0"/>
          <w:lang w:val="zh-CN"/>
        </w:rPr>
        <w:t>的证明材料。</w:t>
      </w:r>
    </w:p>
    <w:p>
      <w:pPr>
        <w:adjustRightInd w:val="0"/>
        <w:snapToGrid w:val="0"/>
        <w:spacing w:beforeLines="50" w:line="360" w:lineRule="auto"/>
        <w:ind w:firstLine="420" w:firstLineChars="200"/>
        <w:rPr>
          <w:rFonts w:ascii="宋体" w:hAnsi="宋体"/>
          <w:color w:val="FF0000"/>
        </w:rPr>
      </w:pPr>
      <w:r>
        <w:rPr>
          <w:rFonts w:hint="eastAsia" w:ascii="宋体" w:hAnsi="宋体"/>
        </w:rPr>
        <w:t>10.2除</w:t>
      </w:r>
      <w:r>
        <w:rPr>
          <w:rFonts w:hint="eastAsia" w:ascii="宋体" w:hAnsi="宋体"/>
          <w:b/>
        </w:rPr>
        <w:t>供应商须知前附表</w:t>
      </w:r>
      <w:r>
        <w:rPr>
          <w:rFonts w:hint="eastAsia" w:ascii="宋体" w:hAnsi="宋体"/>
        </w:rPr>
        <w:t>另有规定外，</w:t>
      </w:r>
      <w:r>
        <w:rPr>
          <w:rFonts w:hint="eastAsia" w:ascii="宋体" w:hAnsi="宋体" w:cs="宋体"/>
          <w:kern w:val="0"/>
          <w:lang w:val="zh-CN"/>
        </w:rPr>
        <w:t>供应商</w:t>
      </w:r>
      <w:r>
        <w:rPr>
          <w:rFonts w:hint="eastAsia" w:ascii="宋体" w:hAnsi="宋体"/>
        </w:rPr>
        <w:t>提供的货物及服务不是</w:t>
      </w:r>
      <w:r>
        <w:rPr>
          <w:rFonts w:hint="eastAsia" w:ascii="宋体" w:hAnsi="宋体" w:cs="宋体"/>
          <w:kern w:val="0"/>
          <w:lang w:val="zh-CN"/>
        </w:rPr>
        <w:t>供应商</w:t>
      </w:r>
      <w:r>
        <w:rPr>
          <w:rFonts w:hint="eastAsia" w:ascii="宋体" w:hAnsi="宋体"/>
        </w:rPr>
        <w:t>制造或拥有的</w:t>
      </w:r>
      <w:r>
        <w:rPr>
          <w:rFonts w:ascii="宋体" w:hAnsi="宋体"/>
        </w:rPr>
        <w:t>,</w:t>
      </w:r>
      <w:r>
        <w:rPr>
          <w:rFonts w:hint="eastAsia" w:ascii="宋体" w:hAnsi="宋体"/>
        </w:rPr>
        <w:t>则应当提供经销、或代理采购货物、或为采</w:t>
      </w:r>
      <w:r>
        <w:rPr>
          <w:rFonts w:hint="eastAsia" w:ascii="宋体" w:hAnsi="宋体"/>
          <w:color w:val="000000"/>
        </w:rPr>
        <w:t>购货物提供售后服务的证明文件。</w:t>
      </w:r>
      <w:r>
        <w:rPr>
          <w:rFonts w:hint="eastAsia" w:ascii="宋体" w:hAnsi="宋体"/>
        </w:rPr>
        <w:t>否则将视为非实质响应而被拒绝。</w:t>
      </w:r>
    </w:p>
    <w:p>
      <w:pPr>
        <w:adjustRightInd w:val="0"/>
        <w:snapToGrid w:val="0"/>
        <w:spacing w:beforeLines="50" w:line="360" w:lineRule="auto"/>
        <w:rPr>
          <w:rFonts w:ascii="宋体" w:hAnsi="宋体"/>
          <w:b/>
          <w:bCs/>
        </w:rPr>
      </w:pPr>
      <w:r>
        <w:rPr>
          <w:rFonts w:hint="eastAsia" w:ascii="宋体" w:hAnsi="宋体"/>
          <w:b/>
          <w:bCs/>
        </w:rPr>
        <w:t>11.货物符合竞争性磋商文件规定的证明文件</w:t>
      </w:r>
    </w:p>
    <w:p>
      <w:pPr>
        <w:adjustRightInd w:val="0"/>
        <w:snapToGrid w:val="0"/>
        <w:spacing w:beforeLines="50" w:line="360" w:lineRule="auto"/>
        <w:ind w:firstLine="420" w:firstLineChars="200"/>
        <w:rPr>
          <w:rFonts w:ascii="宋体" w:hAnsi="宋体"/>
        </w:rPr>
      </w:pPr>
      <w:r>
        <w:rPr>
          <w:rFonts w:hint="eastAsia" w:ascii="宋体" w:hAnsi="宋体"/>
        </w:rPr>
        <w:t>11.1 供应商须提交证明其拟供货物及其服务符合竞争性磋商文件规定的响应性文件，作为竞争性磋商竞争性磋商的一部分。</w:t>
      </w:r>
    </w:p>
    <w:p>
      <w:pPr>
        <w:adjustRightInd w:val="0"/>
        <w:snapToGrid w:val="0"/>
        <w:spacing w:beforeLines="50" w:line="360" w:lineRule="auto"/>
        <w:ind w:firstLine="420" w:firstLineChars="200"/>
        <w:rPr>
          <w:rFonts w:ascii="宋体" w:hAnsi="宋体"/>
        </w:rPr>
      </w:pPr>
      <w:r>
        <w:rPr>
          <w:rFonts w:hint="eastAsia" w:ascii="宋体" w:hAnsi="宋体"/>
        </w:rPr>
        <w:t>11.2 证明货物及其服务与竞争性磋商文件要求一致的文件，可以是文字资料、图纸和数据，并须提供：</w:t>
      </w:r>
    </w:p>
    <w:p>
      <w:pPr>
        <w:adjustRightInd w:val="0"/>
        <w:snapToGrid w:val="0"/>
        <w:spacing w:beforeLines="50" w:line="360" w:lineRule="auto"/>
        <w:ind w:firstLine="420" w:firstLineChars="200"/>
        <w:rPr>
          <w:rFonts w:ascii="宋体" w:hAnsi="宋体"/>
        </w:rPr>
      </w:pPr>
      <w:r>
        <w:rPr>
          <w:rFonts w:hint="eastAsia" w:ascii="宋体" w:hAnsi="宋体"/>
        </w:rPr>
        <w:t>（1）货物主要性能和参数的详细说明；</w:t>
      </w:r>
    </w:p>
    <w:p>
      <w:pPr>
        <w:adjustRightInd w:val="0"/>
        <w:snapToGrid w:val="0"/>
        <w:spacing w:beforeLines="50" w:line="360" w:lineRule="auto"/>
        <w:ind w:firstLine="420" w:firstLineChars="200"/>
        <w:rPr>
          <w:rFonts w:ascii="宋体" w:hAnsi="宋体"/>
        </w:rPr>
      </w:pPr>
      <w:r>
        <w:rPr>
          <w:rFonts w:hint="eastAsia" w:ascii="宋体" w:hAnsi="宋体"/>
        </w:rPr>
        <w:t>（2）对照</w:t>
      </w:r>
      <w:r>
        <w:rPr>
          <w:rFonts w:hint="eastAsia" w:ascii="宋体" w:hAnsi="宋体"/>
          <w:color w:val="000000"/>
        </w:rPr>
        <w:t>竞争性磋商文件</w:t>
      </w:r>
      <w:r>
        <w:rPr>
          <w:rFonts w:hint="eastAsia" w:ascii="宋体" w:hAnsi="宋体"/>
        </w:rPr>
        <w:t>技术规格，逐条说明所提供货物和服务对技术规格响应与偏离表，并申明技术规格条文的响应或偏离。对有具体参数要求的指标，</w:t>
      </w:r>
      <w:r>
        <w:rPr>
          <w:rFonts w:hint="eastAsia" w:ascii="宋体" w:hAnsi="宋体"/>
          <w:bCs/>
          <w:color w:val="000000"/>
        </w:rPr>
        <w:t>供应商</w:t>
      </w:r>
      <w:r>
        <w:rPr>
          <w:rFonts w:hint="eastAsia" w:ascii="宋体" w:hAnsi="宋体"/>
        </w:rPr>
        <w:t>应提供具体参数值。</w:t>
      </w:r>
    </w:p>
    <w:p>
      <w:pPr>
        <w:adjustRightInd w:val="0"/>
        <w:snapToGrid w:val="0"/>
        <w:spacing w:beforeLines="50" w:line="360" w:lineRule="auto"/>
        <w:rPr>
          <w:rFonts w:ascii="宋体" w:hAnsi="宋体"/>
          <w:b/>
          <w:bCs/>
        </w:rPr>
      </w:pPr>
      <w:r>
        <w:rPr>
          <w:rFonts w:hint="eastAsia" w:ascii="宋体" w:hAnsi="宋体"/>
          <w:b/>
          <w:bCs/>
        </w:rPr>
        <w:t>12.保证金</w:t>
      </w:r>
    </w:p>
    <w:p>
      <w:pPr>
        <w:adjustRightInd w:val="0"/>
        <w:snapToGrid w:val="0"/>
        <w:spacing w:beforeLines="50" w:line="360" w:lineRule="auto"/>
        <w:ind w:firstLine="420" w:firstLineChars="200"/>
        <w:rPr>
          <w:rFonts w:ascii="宋体" w:hAnsi="宋体"/>
        </w:rPr>
      </w:pPr>
      <w:r>
        <w:rPr>
          <w:rFonts w:hint="eastAsia" w:ascii="宋体" w:hAnsi="宋体"/>
        </w:rPr>
        <w:t>12.1</w:t>
      </w:r>
      <w:r>
        <w:rPr>
          <w:rFonts w:hint="eastAsia" w:ascii="宋体" w:hAnsi="宋体"/>
          <w:b/>
          <w:color w:val="000000"/>
        </w:rPr>
        <w:t>供应商须知前附表</w:t>
      </w:r>
      <w:r>
        <w:rPr>
          <w:rFonts w:hint="eastAsia" w:ascii="宋体" w:hAnsi="宋体"/>
        </w:rPr>
        <w:t>规定交纳</w:t>
      </w:r>
      <w:r>
        <w:rPr>
          <w:rFonts w:hint="eastAsia" w:ascii="宋体" w:hAnsi="宋体"/>
          <w:bCs/>
          <w:color w:val="000000"/>
        </w:rPr>
        <w:t>保证金的</w:t>
      </w:r>
      <w:r>
        <w:rPr>
          <w:rFonts w:hint="eastAsia" w:ascii="宋体" w:hAnsi="宋体"/>
        </w:rPr>
        <w:t>，</w:t>
      </w:r>
      <w:r>
        <w:rPr>
          <w:rFonts w:hint="eastAsia" w:ascii="宋体" w:hAnsi="宋体"/>
          <w:bCs/>
          <w:color w:val="000000"/>
        </w:rPr>
        <w:t>供应商应</w:t>
      </w:r>
      <w:r>
        <w:rPr>
          <w:rFonts w:hint="eastAsia" w:ascii="宋体" w:hAnsi="宋体"/>
          <w:color w:val="000000"/>
        </w:rPr>
        <w:t>按</w:t>
      </w:r>
      <w:r>
        <w:rPr>
          <w:rFonts w:hint="eastAsia" w:ascii="宋体" w:hAnsi="宋体"/>
          <w:b/>
          <w:color w:val="000000"/>
        </w:rPr>
        <w:t>供应商须知前附表</w:t>
      </w:r>
      <w:r>
        <w:rPr>
          <w:rFonts w:hint="eastAsia" w:ascii="宋体" w:hAnsi="宋体"/>
          <w:color w:val="000000"/>
        </w:rPr>
        <w:t>规定的要求提交保证金，</w:t>
      </w:r>
      <w:r>
        <w:rPr>
          <w:rFonts w:hint="eastAsia" w:ascii="宋体" w:hAnsi="宋体"/>
          <w:bCs/>
          <w:color w:val="000000"/>
        </w:rPr>
        <w:t>保证金有效期应当与</w:t>
      </w:r>
      <w:r>
        <w:rPr>
          <w:rFonts w:hint="eastAsia" w:ascii="宋体" w:hAnsi="宋体"/>
        </w:rPr>
        <w:t>规定</w:t>
      </w:r>
      <w:r>
        <w:rPr>
          <w:rFonts w:hint="eastAsia" w:ascii="宋体" w:hAnsi="宋体" w:cs="宋体"/>
          <w:kern w:val="0"/>
          <w:lang w:val="zh-CN"/>
        </w:rPr>
        <w:t>的竞争性磋商</w:t>
      </w:r>
      <w:r>
        <w:rPr>
          <w:rFonts w:hint="eastAsia" w:ascii="宋体" w:hAnsi="宋体"/>
        </w:rPr>
        <w:t>响应</w:t>
      </w:r>
      <w:r>
        <w:rPr>
          <w:rFonts w:hint="eastAsia" w:ascii="宋体" w:hAnsi="宋体"/>
          <w:bCs/>
          <w:color w:val="000000"/>
        </w:rPr>
        <w:t>文件有效期一致。</w:t>
      </w:r>
    </w:p>
    <w:p>
      <w:pPr>
        <w:adjustRightInd w:val="0"/>
        <w:snapToGrid w:val="0"/>
        <w:spacing w:beforeLines="50" w:line="360" w:lineRule="auto"/>
        <w:ind w:firstLine="420" w:firstLineChars="200"/>
        <w:rPr>
          <w:rFonts w:ascii="宋体" w:hAnsi="宋体"/>
        </w:rPr>
      </w:pPr>
      <w:r>
        <w:rPr>
          <w:rFonts w:hint="eastAsia" w:ascii="宋体" w:hAnsi="宋体"/>
        </w:rPr>
        <w:t>12.2 未按规定提交保证金的竞争性磋商响应文件，将被视为非实质响应而被拒绝。</w:t>
      </w:r>
    </w:p>
    <w:p>
      <w:pPr>
        <w:adjustRightInd w:val="0"/>
        <w:snapToGrid w:val="0"/>
        <w:spacing w:beforeLines="50" w:line="360" w:lineRule="auto"/>
        <w:ind w:firstLine="420" w:firstLineChars="200"/>
        <w:rPr>
          <w:rFonts w:ascii="宋体" w:hAnsi="宋体"/>
        </w:rPr>
      </w:pPr>
      <w:r>
        <w:rPr>
          <w:rFonts w:hint="eastAsia" w:ascii="宋体" w:hAnsi="宋体"/>
        </w:rPr>
        <w:t>12.3 采购代理机构在成交通知书发出后1个工作日内退还未成交供应商的保证金。</w:t>
      </w:r>
    </w:p>
    <w:p>
      <w:pPr>
        <w:adjustRightInd w:val="0"/>
        <w:snapToGrid w:val="0"/>
        <w:spacing w:beforeLines="50" w:line="360" w:lineRule="auto"/>
        <w:ind w:firstLine="420" w:firstLineChars="200"/>
        <w:rPr>
          <w:rFonts w:ascii="宋体" w:hAnsi="宋体"/>
        </w:rPr>
      </w:pPr>
      <w:r>
        <w:rPr>
          <w:rFonts w:hint="eastAsia" w:ascii="宋体" w:hAnsi="宋体"/>
        </w:rPr>
        <w:t>12.4发生以下情况保证金将不予退还：</w:t>
      </w:r>
    </w:p>
    <w:p>
      <w:pPr>
        <w:adjustRightInd w:val="0"/>
        <w:snapToGrid w:val="0"/>
        <w:spacing w:beforeLines="50" w:line="360" w:lineRule="auto"/>
        <w:ind w:firstLine="420" w:firstLineChars="200"/>
        <w:rPr>
          <w:rFonts w:ascii="宋体" w:hAnsi="宋体"/>
        </w:rPr>
      </w:pPr>
      <w:r>
        <w:rPr>
          <w:rFonts w:hint="eastAsia" w:ascii="宋体" w:hAnsi="宋体"/>
        </w:rPr>
        <w:t>（1）供应商在本章规定的递交竞争性磋商响应文件截止时间后撤回竞争性磋商响应文件的；</w:t>
      </w:r>
    </w:p>
    <w:p>
      <w:pPr>
        <w:adjustRightInd w:val="0"/>
        <w:snapToGrid w:val="0"/>
        <w:spacing w:beforeLines="50" w:line="360" w:lineRule="auto"/>
        <w:ind w:firstLine="420" w:firstLineChars="200"/>
        <w:rPr>
          <w:rFonts w:ascii="宋体" w:hAnsi="宋体"/>
        </w:rPr>
      </w:pPr>
      <w:r>
        <w:rPr>
          <w:rFonts w:hint="eastAsia" w:ascii="宋体" w:hAnsi="宋体"/>
        </w:rPr>
        <w:t>（2）供应商在竞争性磋商响应文件中提供虚假材料或虚假承诺的；</w:t>
      </w:r>
    </w:p>
    <w:p>
      <w:pPr>
        <w:adjustRightInd w:val="0"/>
        <w:snapToGrid w:val="0"/>
        <w:spacing w:beforeLines="50" w:line="360" w:lineRule="auto"/>
        <w:ind w:firstLine="420" w:firstLineChars="200"/>
        <w:rPr>
          <w:rFonts w:ascii="宋体" w:hAnsi="宋体"/>
        </w:rPr>
      </w:pPr>
      <w:r>
        <w:rPr>
          <w:rFonts w:hint="eastAsia" w:ascii="宋体" w:hAnsi="宋体"/>
        </w:rPr>
        <w:t>（3）成交供应商无正当理由不与采购人签定合同或转让、分包项目以及拒绝履行合同义务的；</w:t>
      </w:r>
    </w:p>
    <w:p>
      <w:pPr>
        <w:adjustRightInd w:val="0"/>
        <w:snapToGrid w:val="0"/>
        <w:spacing w:beforeLines="50" w:line="360" w:lineRule="auto"/>
        <w:ind w:firstLine="420" w:firstLineChars="200"/>
        <w:rPr>
          <w:rFonts w:ascii="宋体" w:hAnsi="宋体"/>
        </w:rPr>
      </w:pPr>
      <w:r>
        <w:rPr>
          <w:rFonts w:hint="eastAsia" w:ascii="宋体" w:hAnsi="宋体"/>
        </w:rPr>
        <w:t>（4）中标公告前和中标公示期间，成交候选人无正当理由放弃中标资格的；</w:t>
      </w:r>
    </w:p>
    <w:p>
      <w:pPr>
        <w:adjustRightInd w:val="0"/>
        <w:snapToGrid w:val="0"/>
        <w:spacing w:beforeLines="50" w:line="360" w:lineRule="auto"/>
        <w:ind w:firstLine="420" w:firstLineChars="200"/>
        <w:rPr>
          <w:rFonts w:ascii="宋体" w:hAnsi="宋体"/>
        </w:rPr>
      </w:pPr>
      <w:r>
        <w:rPr>
          <w:rFonts w:hint="eastAsia" w:ascii="宋体" w:hAnsi="宋体"/>
        </w:rPr>
        <w:t>（5）竞争性磋商文件规定的其他情形。</w:t>
      </w:r>
    </w:p>
    <w:p>
      <w:pPr>
        <w:adjustRightInd w:val="0"/>
        <w:snapToGrid w:val="0"/>
        <w:spacing w:beforeLines="50" w:line="360" w:lineRule="auto"/>
        <w:rPr>
          <w:rFonts w:ascii="宋体" w:hAnsi="宋体"/>
          <w:b/>
          <w:bCs/>
        </w:rPr>
      </w:pPr>
      <w:r>
        <w:rPr>
          <w:rFonts w:hint="eastAsia" w:ascii="宋体" w:hAnsi="宋体"/>
          <w:b/>
          <w:bCs/>
        </w:rPr>
        <w:t>13.竞争性磋商</w:t>
      </w:r>
      <w:r>
        <w:rPr>
          <w:rFonts w:hint="eastAsia" w:ascii="宋体" w:hAnsi="宋体"/>
          <w:b/>
        </w:rPr>
        <w:t>响应文件有效期</w:t>
      </w:r>
    </w:p>
    <w:p>
      <w:pPr>
        <w:adjustRightInd w:val="0"/>
        <w:snapToGrid w:val="0"/>
        <w:spacing w:beforeLines="50" w:line="360" w:lineRule="auto"/>
        <w:ind w:firstLine="420" w:firstLineChars="200"/>
        <w:rPr>
          <w:rFonts w:ascii="宋体" w:hAnsi="宋体"/>
        </w:rPr>
      </w:pPr>
      <w:r>
        <w:rPr>
          <w:rFonts w:hint="eastAsia" w:ascii="宋体" w:hAnsi="宋体"/>
        </w:rPr>
        <w:t>13.1竞争性磋商响应文件有效期见</w:t>
      </w:r>
      <w:r>
        <w:rPr>
          <w:rFonts w:hint="eastAsia" w:ascii="宋体" w:hAnsi="宋体"/>
          <w:b/>
        </w:rPr>
        <w:t>供应商须知前附表</w:t>
      </w:r>
      <w:r>
        <w:rPr>
          <w:rFonts w:hint="eastAsia" w:ascii="宋体" w:hAnsi="宋体"/>
        </w:rPr>
        <w:t>，在此期间竞争性磋商响应文件对供应商具有法律约束力，竞争性磋商响应文件有效期</w:t>
      </w:r>
      <w:r>
        <w:rPr>
          <w:rFonts w:hint="eastAsia" w:ascii="宋体" w:hAnsi="宋体" w:cs="Arial"/>
        </w:rPr>
        <w:t>从</w:t>
      </w:r>
      <w:r>
        <w:rPr>
          <w:rFonts w:hint="eastAsia" w:ascii="宋体" w:hAnsi="宋体"/>
        </w:rPr>
        <w:t>规定的</w:t>
      </w:r>
      <w:r>
        <w:rPr>
          <w:rFonts w:hint="eastAsia" w:ascii="宋体" w:hAnsi="宋体" w:cs="Arial"/>
        </w:rPr>
        <w:t>递交竞争性磋商</w:t>
      </w:r>
      <w:r>
        <w:rPr>
          <w:rFonts w:hint="eastAsia" w:ascii="宋体" w:hAnsi="宋体"/>
        </w:rPr>
        <w:t>响应文件</w:t>
      </w:r>
      <w:r>
        <w:rPr>
          <w:rFonts w:hint="eastAsia" w:ascii="宋体" w:hAnsi="宋体" w:cs="Arial"/>
        </w:rPr>
        <w:t>截止时间之日起计算。竞争性磋商</w:t>
      </w:r>
      <w:r>
        <w:rPr>
          <w:rFonts w:hint="eastAsia" w:ascii="宋体" w:hAnsi="宋体"/>
        </w:rPr>
        <w:t>响应文件有效期不足的将被视为无效响应，并予以拒绝。</w:t>
      </w:r>
    </w:p>
    <w:p>
      <w:pPr>
        <w:adjustRightInd w:val="0"/>
        <w:snapToGrid w:val="0"/>
        <w:spacing w:beforeLines="50" w:line="360" w:lineRule="auto"/>
        <w:ind w:firstLine="420" w:firstLineChars="200"/>
        <w:rPr>
          <w:rFonts w:ascii="宋体" w:hAnsi="宋体"/>
        </w:rPr>
      </w:pPr>
      <w:r>
        <w:rPr>
          <w:rFonts w:hint="eastAsia" w:ascii="宋体" w:hAnsi="宋体"/>
        </w:rPr>
        <w:t>13.2特殊情况下，采购代理机构可于竞争性磋商响应文件有效期满之前要求供应商同意延长有效期，要求与答复均应为书面形式。供应商可以拒绝上述要求而其保证金不被没收。对于同意该要求的供应商，既不要求也不允许其修改竞争性磋商响应文件，但将要求其相应延长保证金的有效期。有关退还和没收保证金的规定在竞争性磋商响应文件有效期的延长期内继续有效。</w:t>
      </w:r>
    </w:p>
    <w:p>
      <w:pPr>
        <w:widowControl/>
        <w:adjustRightInd w:val="0"/>
        <w:snapToGrid w:val="0"/>
        <w:spacing w:beforeLines="50" w:line="360" w:lineRule="auto"/>
        <w:jc w:val="left"/>
        <w:rPr>
          <w:rFonts w:ascii="宋体" w:hAnsi="宋体"/>
          <w:b/>
        </w:rPr>
      </w:pPr>
      <w:bookmarkStart w:id="41" w:name="_Hlk39664050"/>
      <w:bookmarkStart w:id="42" w:name="_Hlk38276022"/>
      <w:r>
        <w:rPr>
          <w:rFonts w:hint="eastAsia" w:ascii="宋体" w:hAnsi="宋体" w:cs="Arial"/>
          <w:b/>
          <w:bCs/>
          <w:kern w:val="0"/>
        </w:rPr>
        <w:t>14</w:t>
      </w:r>
      <w:r>
        <w:rPr>
          <w:rFonts w:ascii="宋体" w:hAnsi="宋体" w:cs="Arial"/>
          <w:b/>
          <w:bCs/>
          <w:kern w:val="0"/>
        </w:rPr>
        <w:t>.</w:t>
      </w:r>
      <w:r>
        <w:rPr>
          <w:rFonts w:hint="eastAsia" w:ascii="宋体" w:hAnsi="宋体"/>
          <w:b/>
        </w:rPr>
        <w:t>有下列情形之一的，视为投标人串通投标，其投标无效：</w:t>
      </w:r>
    </w:p>
    <w:p>
      <w:pPr>
        <w:widowControl/>
        <w:adjustRightInd w:val="0"/>
        <w:snapToGrid w:val="0"/>
        <w:spacing w:beforeLines="50" w:line="360" w:lineRule="auto"/>
        <w:jc w:val="left"/>
        <w:rPr>
          <w:rFonts w:ascii="宋体" w:hAnsi="宋体"/>
        </w:rPr>
      </w:pPr>
      <w:r>
        <w:rPr>
          <w:rFonts w:hint="eastAsia" w:ascii="宋体" w:hAnsi="宋体"/>
        </w:rPr>
        <w:t>　　14.1不同投标人的投标文件由同一单位或者个人编制；</w:t>
      </w:r>
    </w:p>
    <w:p>
      <w:pPr>
        <w:widowControl/>
        <w:adjustRightInd w:val="0"/>
        <w:snapToGrid w:val="0"/>
        <w:spacing w:beforeLines="50" w:line="360" w:lineRule="auto"/>
        <w:ind w:firstLine="210" w:firstLineChars="100"/>
        <w:jc w:val="left"/>
        <w:rPr>
          <w:rFonts w:ascii="宋体" w:hAnsi="宋体"/>
        </w:rPr>
      </w:pPr>
      <w:r>
        <w:rPr>
          <w:rFonts w:hint="eastAsia" w:ascii="宋体" w:hAnsi="宋体"/>
        </w:rPr>
        <w:t>　14.2不同投标人委托同一单位或者个人办理投标事宜；</w:t>
      </w:r>
    </w:p>
    <w:p>
      <w:pPr>
        <w:widowControl/>
        <w:adjustRightInd w:val="0"/>
        <w:snapToGrid w:val="0"/>
        <w:spacing w:beforeLines="50" w:line="360" w:lineRule="auto"/>
        <w:jc w:val="left"/>
        <w:rPr>
          <w:rFonts w:ascii="宋体" w:hAnsi="宋体"/>
        </w:rPr>
      </w:pPr>
      <w:r>
        <w:rPr>
          <w:rFonts w:hint="eastAsia" w:ascii="宋体" w:hAnsi="宋体"/>
        </w:rPr>
        <w:t>　　14.3不同投标人的投标文件载明的项目管理成员或者联系人员为同一人；</w:t>
      </w:r>
    </w:p>
    <w:p>
      <w:pPr>
        <w:widowControl/>
        <w:adjustRightInd w:val="0"/>
        <w:snapToGrid w:val="0"/>
        <w:spacing w:beforeLines="50" w:line="360" w:lineRule="auto"/>
        <w:jc w:val="left"/>
        <w:rPr>
          <w:rFonts w:ascii="宋体" w:hAnsi="宋体"/>
        </w:rPr>
      </w:pPr>
      <w:r>
        <w:rPr>
          <w:rFonts w:hint="eastAsia" w:ascii="宋体" w:hAnsi="宋体"/>
        </w:rPr>
        <w:t>　14.4不同投标人的投标文件异常一致或者投标报价呈规律性差异；</w:t>
      </w:r>
    </w:p>
    <w:p>
      <w:pPr>
        <w:widowControl/>
        <w:adjustRightInd w:val="0"/>
        <w:snapToGrid w:val="0"/>
        <w:spacing w:beforeLines="50" w:line="360" w:lineRule="auto"/>
        <w:jc w:val="left"/>
        <w:rPr>
          <w:rFonts w:ascii="宋体" w:hAnsi="宋体"/>
        </w:rPr>
      </w:pPr>
      <w:r>
        <w:rPr>
          <w:rFonts w:hint="eastAsia" w:ascii="宋体" w:hAnsi="宋体"/>
        </w:rPr>
        <w:t>　　14.5不同投标人的投标文件相互混装；</w:t>
      </w:r>
    </w:p>
    <w:p>
      <w:pPr>
        <w:widowControl/>
        <w:adjustRightInd w:val="0"/>
        <w:snapToGrid w:val="0"/>
        <w:spacing w:beforeLines="50" w:line="360" w:lineRule="auto"/>
        <w:jc w:val="left"/>
        <w:rPr>
          <w:rFonts w:ascii="宋体" w:hAnsi="宋体"/>
        </w:rPr>
      </w:pPr>
      <w:r>
        <w:rPr>
          <w:rFonts w:hint="eastAsia" w:ascii="宋体" w:hAnsi="宋体"/>
        </w:rPr>
        <w:t>　　14.6不同投标人的投标保证金从同一单位或者个人的账户转出。</w:t>
      </w:r>
    </w:p>
    <w:bookmarkEnd w:id="41"/>
    <w:p>
      <w:pPr>
        <w:adjustRightInd w:val="0"/>
        <w:snapToGrid w:val="0"/>
        <w:spacing w:beforeLines="50" w:line="360" w:lineRule="auto"/>
        <w:rPr>
          <w:rFonts w:ascii="宋体" w:hAnsi="宋体"/>
          <w:b/>
        </w:rPr>
      </w:pPr>
      <w:r>
        <w:rPr>
          <w:rFonts w:hint="eastAsia" w:ascii="宋体" w:hAnsi="宋体"/>
          <w:b/>
        </w:rPr>
        <w:t>四、竞争性磋商响应文件的递交</w:t>
      </w:r>
    </w:p>
    <w:p>
      <w:pPr>
        <w:adjustRightInd w:val="0"/>
        <w:snapToGrid w:val="0"/>
        <w:spacing w:beforeLines="50" w:line="360" w:lineRule="auto"/>
        <w:rPr>
          <w:rFonts w:ascii="宋体" w:hAnsi="宋体"/>
          <w:b/>
          <w:bCs/>
        </w:rPr>
      </w:pPr>
      <w:r>
        <w:rPr>
          <w:rFonts w:hint="eastAsia" w:ascii="宋体" w:hAnsi="宋体"/>
          <w:b/>
          <w:bCs/>
        </w:rPr>
        <w:t>15.</w:t>
      </w:r>
      <w:r>
        <w:rPr>
          <w:rFonts w:hint="eastAsia" w:ascii="宋体" w:hAnsi="宋体"/>
          <w:b/>
        </w:rPr>
        <w:t>竞争性磋商响应文件</w:t>
      </w:r>
      <w:r>
        <w:rPr>
          <w:rFonts w:hint="eastAsia" w:ascii="宋体" w:hAnsi="宋体"/>
          <w:b/>
          <w:bCs/>
        </w:rPr>
        <w:t>的修改和撤回</w:t>
      </w:r>
    </w:p>
    <w:p>
      <w:pPr>
        <w:adjustRightInd w:val="0"/>
        <w:snapToGrid w:val="0"/>
        <w:spacing w:beforeLines="50" w:line="360" w:lineRule="auto"/>
        <w:ind w:firstLine="420" w:firstLineChars="200"/>
        <w:rPr>
          <w:rFonts w:ascii="宋体" w:hAnsi="宋体"/>
        </w:rPr>
      </w:pPr>
      <w:r>
        <w:rPr>
          <w:rFonts w:hint="eastAsia" w:ascii="宋体" w:hAnsi="宋体"/>
        </w:rPr>
        <w:t>15.1在开标时间前，潜在</w:t>
      </w:r>
      <w:r>
        <w:rPr>
          <w:rFonts w:hint="eastAsia" w:ascii="宋体" w:hAnsi="宋体" w:cs="宋体"/>
          <w:kern w:val="0"/>
          <w:lang w:val="zh-CN"/>
        </w:rPr>
        <w:t>供应商</w:t>
      </w:r>
      <w:r>
        <w:rPr>
          <w:rFonts w:hint="eastAsia" w:ascii="宋体" w:hAnsi="宋体"/>
        </w:rPr>
        <w:t>对竞争性磋商文件有疑问且要求招标人澄清的，应于本投标须知前附表规定的时间前以书面形式告知招标人，招标人对竞争性磋商文件的修改或答疑回复将于本投标须知前附表规定的时间以书面形式发出,</w:t>
      </w:r>
      <w:r>
        <w:rPr>
          <w:rFonts w:hint="eastAsia" w:ascii="宋体" w:hAnsi="宋体" w:cs="宋体"/>
          <w:kern w:val="0"/>
          <w:lang w:val="zh-CN"/>
        </w:rPr>
        <w:t>供应商</w:t>
      </w:r>
      <w:r>
        <w:rPr>
          <w:rFonts w:hint="eastAsia" w:ascii="宋体" w:hAnsi="宋体"/>
        </w:rPr>
        <w:t>自行上网查阅，并须填写本竞争性磋商文件规定格式之回执，附在供应商竞争性磋商响应文件内。如无答疑回复，则不需填写回执。</w:t>
      </w:r>
    </w:p>
    <w:p>
      <w:pPr>
        <w:adjustRightInd w:val="0"/>
        <w:snapToGrid w:val="0"/>
        <w:spacing w:beforeLines="50" w:line="360" w:lineRule="auto"/>
        <w:ind w:firstLine="420" w:firstLineChars="200"/>
        <w:rPr>
          <w:rFonts w:ascii="宋体" w:hAnsi="宋体"/>
        </w:rPr>
      </w:pPr>
      <w:r>
        <w:rPr>
          <w:rFonts w:hint="eastAsia" w:ascii="宋体" w:hAnsi="宋体"/>
        </w:rPr>
        <w:t>15.2为使供应商有合理的时间按补充文件准备竞争性磋商响应文件，招标人可能根据具体情况酌情延长投标截止日期。</w:t>
      </w:r>
    </w:p>
    <w:p>
      <w:pPr>
        <w:adjustRightInd w:val="0"/>
        <w:snapToGrid w:val="0"/>
        <w:spacing w:beforeLines="50" w:line="360" w:lineRule="auto"/>
        <w:rPr>
          <w:rFonts w:ascii="宋体" w:hAnsi="宋体"/>
          <w:b/>
          <w:bCs/>
        </w:rPr>
      </w:pPr>
      <w:r>
        <w:rPr>
          <w:rFonts w:hint="eastAsia" w:ascii="宋体" w:hAnsi="宋体"/>
          <w:b/>
          <w:bCs/>
        </w:rPr>
        <w:t>16.</w:t>
      </w:r>
      <w:r>
        <w:rPr>
          <w:rFonts w:hint="eastAsia" w:ascii="宋体" w:hAnsi="宋体"/>
          <w:b/>
        </w:rPr>
        <w:t>竞争性磋商响应文件</w:t>
      </w:r>
      <w:r>
        <w:rPr>
          <w:rFonts w:hint="eastAsia" w:ascii="宋体" w:hAnsi="宋体"/>
          <w:b/>
          <w:bCs/>
        </w:rPr>
        <w:t>的递交与接收</w:t>
      </w:r>
    </w:p>
    <w:p>
      <w:pPr>
        <w:adjustRightInd w:val="0"/>
        <w:snapToGrid w:val="0"/>
        <w:spacing w:beforeLines="50" w:line="360" w:lineRule="auto"/>
        <w:ind w:firstLine="420" w:firstLineChars="200"/>
        <w:rPr>
          <w:rFonts w:ascii="宋体" w:hAnsi="宋体"/>
        </w:rPr>
      </w:pPr>
      <w:r>
        <w:rPr>
          <w:rFonts w:hint="eastAsia" w:ascii="宋体" w:hAnsi="宋体"/>
        </w:rPr>
        <w:t>17.1竞争性磋商响应文件应按竞争性磋商文件的要求与格式编写。</w:t>
      </w:r>
    </w:p>
    <w:p>
      <w:pPr>
        <w:adjustRightInd w:val="0"/>
        <w:snapToGrid w:val="0"/>
        <w:spacing w:beforeLines="50" w:line="360" w:lineRule="auto"/>
        <w:ind w:left="630" w:leftChars="200" w:hanging="210" w:hangingChars="100"/>
        <w:rPr>
          <w:rFonts w:ascii="宋体" w:hAnsi="宋体"/>
        </w:rPr>
      </w:pPr>
      <w:r>
        <w:rPr>
          <w:rFonts w:hint="eastAsia" w:ascii="宋体" w:hAnsi="宋体"/>
        </w:rPr>
        <w:t>17.2竞争性磋商响应文件因表达不清所引起的后果由供应商负责。</w:t>
      </w:r>
    </w:p>
    <w:p>
      <w:pPr>
        <w:adjustRightInd w:val="0"/>
        <w:snapToGrid w:val="0"/>
        <w:spacing w:beforeLines="50" w:line="360" w:lineRule="auto"/>
        <w:ind w:left="630" w:leftChars="200" w:hanging="210" w:hangingChars="100"/>
        <w:rPr>
          <w:rFonts w:ascii="宋体" w:hAnsi="宋体"/>
        </w:rPr>
      </w:pPr>
      <w:r>
        <w:rPr>
          <w:rFonts w:hint="eastAsia" w:ascii="宋体" w:hAnsi="宋体"/>
        </w:rPr>
        <w:t>17.3供应商编制和提交竞争性磋商响应文件所需费用自理。</w:t>
      </w:r>
    </w:p>
    <w:p>
      <w:pPr>
        <w:adjustRightInd w:val="0"/>
        <w:snapToGrid w:val="0"/>
        <w:spacing w:beforeLines="50" w:line="360" w:lineRule="auto"/>
        <w:ind w:left="630" w:leftChars="200" w:hanging="210" w:hangingChars="100"/>
        <w:rPr>
          <w:rFonts w:ascii="宋体" w:hAnsi="宋体"/>
        </w:rPr>
      </w:pPr>
      <w:r>
        <w:rPr>
          <w:rFonts w:hint="eastAsia" w:ascii="宋体" w:hAnsi="宋体"/>
        </w:rPr>
        <w:t>17.4使用电子招投标的，具体要求见</w:t>
      </w:r>
      <w:r>
        <w:rPr>
          <w:rFonts w:hint="eastAsia" w:ascii="宋体" w:hAnsi="宋体" w:cs="宋体"/>
          <w:kern w:val="0"/>
          <w:lang w:val="zh-CN"/>
        </w:rPr>
        <w:t>供应商</w:t>
      </w:r>
      <w:r>
        <w:rPr>
          <w:rFonts w:hint="eastAsia" w:ascii="宋体" w:hAnsi="宋体"/>
        </w:rPr>
        <w:t>须知前附表中的《电子招投标相关要求》。</w:t>
      </w:r>
    </w:p>
    <w:p>
      <w:pPr>
        <w:adjustRightInd w:val="0"/>
        <w:snapToGrid w:val="0"/>
        <w:spacing w:beforeLines="50" w:line="360" w:lineRule="auto"/>
        <w:ind w:left="632" w:hanging="632" w:hangingChars="300"/>
        <w:rPr>
          <w:rFonts w:ascii="宋体" w:hAnsi="宋体"/>
          <w:b/>
          <w:bCs/>
        </w:rPr>
      </w:pPr>
      <w:r>
        <w:rPr>
          <w:rFonts w:hint="eastAsia" w:ascii="宋体" w:hAnsi="宋体"/>
          <w:b/>
          <w:bCs/>
        </w:rPr>
        <w:t>五、</w:t>
      </w:r>
      <w:r>
        <w:rPr>
          <w:rFonts w:hint="eastAsia" w:ascii="宋体" w:hAnsi="宋体"/>
          <w:b/>
        </w:rPr>
        <w:t>评标委员会和评审</w:t>
      </w:r>
    </w:p>
    <w:p>
      <w:pPr>
        <w:adjustRightInd w:val="0"/>
        <w:snapToGrid w:val="0"/>
        <w:spacing w:beforeLines="50" w:line="360" w:lineRule="auto"/>
        <w:rPr>
          <w:rFonts w:ascii="宋体" w:hAnsi="宋体"/>
          <w:b/>
          <w:bCs/>
        </w:rPr>
      </w:pPr>
      <w:r>
        <w:rPr>
          <w:rFonts w:hint="eastAsia" w:ascii="宋体" w:hAnsi="宋体"/>
          <w:b/>
          <w:bCs/>
        </w:rPr>
        <w:t>17.</w:t>
      </w:r>
      <w:r>
        <w:rPr>
          <w:rFonts w:hint="eastAsia" w:ascii="宋体" w:hAnsi="宋体"/>
          <w:b/>
        </w:rPr>
        <w:t>评标委员会</w:t>
      </w:r>
    </w:p>
    <w:p>
      <w:pPr>
        <w:adjustRightInd w:val="0"/>
        <w:snapToGrid w:val="0"/>
        <w:spacing w:beforeLines="50" w:line="360" w:lineRule="auto"/>
        <w:ind w:firstLine="420" w:firstLineChars="200"/>
        <w:jc w:val="left"/>
        <w:rPr>
          <w:rFonts w:ascii="宋体" w:hAnsi="宋体"/>
        </w:rPr>
      </w:pPr>
      <w:r>
        <w:rPr>
          <w:rFonts w:hint="eastAsia" w:ascii="宋体" w:hAnsi="宋体"/>
          <w:bCs/>
        </w:rPr>
        <w:t>17.1 招标人与采购代理机构将根据采购项目的特点依法组建</w:t>
      </w:r>
      <w:r>
        <w:rPr>
          <w:rFonts w:hint="eastAsia" w:ascii="宋体" w:hAnsi="宋体"/>
          <w:b/>
        </w:rPr>
        <w:t>评标委员会</w:t>
      </w:r>
      <w:r>
        <w:rPr>
          <w:rFonts w:hint="eastAsia" w:ascii="宋体" w:hAnsi="宋体"/>
          <w:bCs/>
        </w:rPr>
        <w:t>，其成员由</w:t>
      </w:r>
      <w:r>
        <w:rPr>
          <w:rFonts w:hint="eastAsia" w:ascii="宋体" w:hAnsi="宋体"/>
        </w:rPr>
        <w:t>评审专家和招标人的代表组成。</w:t>
      </w:r>
      <w:r>
        <w:rPr>
          <w:rFonts w:hint="eastAsia" w:ascii="宋体" w:hAnsi="宋体"/>
          <w:b/>
        </w:rPr>
        <w:t>评标委员会</w:t>
      </w:r>
      <w:r>
        <w:rPr>
          <w:rFonts w:hint="eastAsia" w:ascii="宋体" w:hAnsi="宋体"/>
        </w:rPr>
        <w:t>负责对竞争性磋商响应文件进行审查、竞争性磋商、评价以及推荐成交</w:t>
      </w:r>
      <w:r>
        <w:rPr>
          <w:rFonts w:hint="eastAsia" w:ascii="宋体" w:hAnsi="宋体" w:cs="宋体"/>
          <w:kern w:val="0"/>
          <w:lang w:val="zh-CN"/>
        </w:rPr>
        <w:t>供应商</w:t>
      </w:r>
      <w:r>
        <w:rPr>
          <w:rFonts w:hint="eastAsia" w:ascii="宋体" w:hAnsi="宋体"/>
        </w:rPr>
        <w:t>。</w:t>
      </w:r>
    </w:p>
    <w:p>
      <w:pPr>
        <w:adjustRightInd w:val="0"/>
        <w:snapToGrid w:val="0"/>
        <w:spacing w:beforeLines="50" w:line="360" w:lineRule="auto"/>
        <w:ind w:left="628" w:leftChars="1" w:hanging="626" w:hangingChars="297"/>
        <w:rPr>
          <w:rFonts w:ascii="宋体" w:hAnsi="宋体"/>
          <w:b/>
          <w:bCs/>
        </w:rPr>
      </w:pPr>
      <w:r>
        <w:rPr>
          <w:rFonts w:hint="eastAsia" w:ascii="宋体" w:hAnsi="宋体"/>
          <w:b/>
          <w:bCs/>
        </w:rPr>
        <w:t>18. 资格</w:t>
      </w:r>
      <w:r>
        <w:rPr>
          <w:rFonts w:hint="eastAsia" w:ascii="宋体" w:hAnsi="宋体"/>
          <w:b/>
        </w:rPr>
        <w:t>核</w:t>
      </w:r>
      <w:r>
        <w:rPr>
          <w:rFonts w:hint="eastAsia" w:ascii="宋体" w:hAnsi="宋体"/>
          <w:b/>
          <w:bCs/>
        </w:rPr>
        <w:t>查</w:t>
      </w:r>
    </w:p>
    <w:p>
      <w:pPr>
        <w:adjustRightInd w:val="0"/>
        <w:snapToGrid w:val="0"/>
        <w:spacing w:beforeLines="50" w:line="360" w:lineRule="auto"/>
        <w:ind w:firstLine="420" w:firstLineChars="200"/>
        <w:rPr>
          <w:rFonts w:ascii="宋体" w:hAnsi="宋体"/>
        </w:rPr>
      </w:pPr>
      <w:r>
        <w:rPr>
          <w:rFonts w:hint="eastAsia" w:ascii="宋体" w:hAnsi="宋体"/>
        </w:rPr>
        <w:t xml:space="preserve">18.1 </w:t>
      </w:r>
      <w:r>
        <w:rPr>
          <w:rFonts w:hint="eastAsia" w:ascii="宋体" w:hAnsi="宋体"/>
          <w:b/>
        </w:rPr>
        <w:t>评标委员会</w:t>
      </w:r>
      <w:r>
        <w:rPr>
          <w:rFonts w:hint="eastAsia" w:ascii="宋体" w:hAnsi="宋体"/>
        </w:rPr>
        <w:t>根据规定的</w:t>
      </w:r>
      <w:r>
        <w:rPr>
          <w:rFonts w:hint="eastAsia" w:ascii="宋体" w:hAnsi="宋体" w:cs="宋体"/>
          <w:kern w:val="0"/>
          <w:lang w:val="zh-CN"/>
        </w:rPr>
        <w:t>供应商</w:t>
      </w:r>
      <w:r>
        <w:rPr>
          <w:rFonts w:hint="eastAsia" w:ascii="宋体" w:hAnsi="宋体"/>
        </w:rPr>
        <w:t>资格条件要求，对竞争性磋商响应文件进行资格核</w:t>
      </w:r>
      <w:r>
        <w:rPr>
          <w:rFonts w:hint="eastAsia" w:ascii="宋体" w:hAnsi="宋体"/>
          <w:bCs/>
        </w:rPr>
        <w:t>查</w:t>
      </w:r>
      <w:r>
        <w:rPr>
          <w:rFonts w:hint="eastAsia" w:ascii="宋体" w:hAnsi="宋体"/>
        </w:rPr>
        <w:t>。</w:t>
      </w:r>
      <w:r>
        <w:rPr>
          <w:rFonts w:hint="eastAsia" w:ascii="宋体" w:hAnsi="宋体" w:cs="宋体"/>
          <w:kern w:val="0"/>
          <w:lang w:val="zh-CN"/>
        </w:rPr>
        <w:t>供应商</w:t>
      </w:r>
      <w:r>
        <w:rPr>
          <w:rFonts w:hint="eastAsia" w:ascii="宋体" w:hAnsi="宋体"/>
        </w:rPr>
        <w:t>不满足资格条件的，在评审时将其视为无效响应。</w:t>
      </w:r>
    </w:p>
    <w:p>
      <w:pPr>
        <w:adjustRightInd w:val="0"/>
        <w:snapToGrid w:val="0"/>
        <w:spacing w:beforeLines="50" w:line="360" w:lineRule="auto"/>
        <w:ind w:firstLine="420" w:firstLineChars="200"/>
        <w:rPr>
          <w:rFonts w:ascii="宋体" w:hAnsi="宋体"/>
        </w:rPr>
      </w:pPr>
      <w:r>
        <w:rPr>
          <w:rFonts w:hint="eastAsia" w:ascii="宋体" w:hAnsi="宋体"/>
        </w:rPr>
        <w:t>18.2</w:t>
      </w:r>
      <w:r>
        <w:rPr>
          <w:rFonts w:hint="eastAsia" w:ascii="宋体" w:hAnsi="宋体"/>
          <w:b/>
        </w:rPr>
        <w:t>评标委员会</w:t>
      </w:r>
      <w:r>
        <w:rPr>
          <w:rFonts w:hint="eastAsia" w:ascii="宋体" w:hAnsi="宋体"/>
        </w:rPr>
        <w:t>可以要求</w:t>
      </w:r>
      <w:r>
        <w:rPr>
          <w:rFonts w:hint="eastAsia" w:ascii="宋体" w:hAnsi="宋体" w:cs="宋体"/>
          <w:kern w:val="0"/>
          <w:lang w:val="zh-CN"/>
        </w:rPr>
        <w:t>供应商</w:t>
      </w:r>
      <w:r>
        <w:rPr>
          <w:rFonts w:hint="eastAsia" w:ascii="宋体" w:hAnsi="宋体"/>
        </w:rPr>
        <w:t>提交有关证明和证件的原件以便核验。</w:t>
      </w:r>
    </w:p>
    <w:p>
      <w:pPr>
        <w:tabs>
          <w:tab w:val="left" w:pos="0"/>
        </w:tabs>
        <w:adjustRightInd w:val="0"/>
        <w:snapToGrid w:val="0"/>
        <w:spacing w:beforeLines="50" w:line="360" w:lineRule="auto"/>
        <w:rPr>
          <w:rFonts w:ascii="宋体" w:hAnsi="宋体"/>
          <w:b/>
          <w:bCs/>
        </w:rPr>
      </w:pPr>
      <w:r>
        <w:rPr>
          <w:rFonts w:hint="eastAsia" w:ascii="宋体" w:hAnsi="宋体"/>
          <w:b/>
        </w:rPr>
        <w:t>19.竞争性磋商响应文件</w:t>
      </w:r>
      <w:r>
        <w:rPr>
          <w:rFonts w:hint="eastAsia" w:ascii="宋体" w:hAnsi="宋体"/>
          <w:b/>
          <w:bCs/>
        </w:rPr>
        <w:t>的</w:t>
      </w:r>
      <w:r>
        <w:rPr>
          <w:rFonts w:hint="eastAsia" w:ascii="宋体" w:hAnsi="宋体"/>
          <w:b/>
          <w:bCs/>
          <w:color w:val="000000"/>
        </w:rPr>
        <w:t>符合性审查</w:t>
      </w:r>
    </w:p>
    <w:p>
      <w:pPr>
        <w:adjustRightInd w:val="0"/>
        <w:snapToGrid w:val="0"/>
        <w:spacing w:beforeLines="50" w:line="360" w:lineRule="auto"/>
        <w:ind w:firstLine="420" w:firstLineChars="200"/>
        <w:rPr>
          <w:rFonts w:ascii="宋体" w:hAnsi="宋体"/>
          <w:bCs/>
        </w:rPr>
      </w:pPr>
      <w:r>
        <w:rPr>
          <w:rFonts w:hint="eastAsia" w:ascii="宋体" w:hAnsi="宋体"/>
          <w:bCs/>
        </w:rPr>
        <w:t>19.1</w:t>
      </w:r>
      <w:r>
        <w:rPr>
          <w:rFonts w:hint="eastAsia" w:ascii="宋体" w:hAnsi="宋体"/>
          <w:b/>
        </w:rPr>
        <w:t>评标委员会</w:t>
      </w:r>
      <w:r>
        <w:rPr>
          <w:rFonts w:hint="eastAsia" w:ascii="宋体" w:hAnsi="宋体"/>
          <w:bCs/>
        </w:rPr>
        <w:t>对</w:t>
      </w:r>
      <w:r>
        <w:rPr>
          <w:rFonts w:hint="eastAsia" w:ascii="宋体" w:hAnsi="宋体"/>
        </w:rPr>
        <w:t>竞争性磋商响应文件</w:t>
      </w:r>
      <w:r>
        <w:rPr>
          <w:rFonts w:hint="eastAsia" w:ascii="宋体" w:hAnsi="宋体"/>
          <w:bCs/>
        </w:rPr>
        <w:t>进行符合性审查，</w:t>
      </w:r>
      <w:r>
        <w:rPr>
          <w:rFonts w:hint="eastAsia" w:ascii="宋体" w:hAnsi="宋体"/>
        </w:rPr>
        <w:t>竞争性磋商响应文件</w:t>
      </w:r>
      <w:r>
        <w:rPr>
          <w:rFonts w:hint="eastAsia" w:ascii="宋体" w:hAnsi="宋体"/>
          <w:bCs/>
        </w:rPr>
        <w:t>有下列情况之一的视为无效响应：</w:t>
      </w:r>
    </w:p>
    <w:p>
      <w:pPr>
        <w:adjustRightInd w:val="0"/>
        <w:snapToGrid w:val="0"/>
        <w:spacing w:beforeLines="50" w:line="360" w:lineRule="auto"/>
        <w:ind w:firstLine="420" w:firstLineChars="200"/>
        <w:rPr>
          <w:rFonts w:ascii="宋体" w:hAnsi="宋体"/>
          <w:bCs/>
        </w:rPr>
      </w:pPr>
      <w:r>
        <w:rPr>
          <w:rFonts w:hint="eastAsia" w:ascii="宋体" w:hAnsi="宋体"/>
          <w:bCs/>
        </w:rPr>
        <w:t>（1）</w:t>
      </w:r>
      <w:r>
        <w:rPr>
          <w:rFonts w:hint="eastAsia" w:ascii="宋体" w:hAnsi="宋体"/>
        </w:rPr>
        <w:t>应交未交保证金或金额不足、保证金缴纳形式不符合</w:t>
      </w:r>
      <w:r>
        <w:rPr>
          <w:rFonts w:hint="eastAsia" w:ascii="宋体" w:hAnsi="宋体"/>
          <w:bCs/>
        </w:rPr>
        <w:t>竞争性磋商文件</w:t>
      </w:r>
      <w:r>
        <w:rPr>
          <w:rFonts w:hint="eastAsia" w:ascii="宋体" w:hAnsi="宋体"/>
        </w:rPr>
        <w:t>要求的；</w:t>
      </w:r>
    </w:p>
    <w:p>
      <w:pPr>
        <w:tabs>
          <w:tab w:val="left" w:pos="735"/>
          <w:tab w:val="left" w:pos="7560"/>
          <w:tab w:val="left" w:pos="7740"/>
          <w:tab w:val="left" w:pos="7920"/>
        </w:tabs>
        <w:adjustRightInd w:val="0"/>
        <w:snapToGrid w:val="0"/>
        <w:spacing w:beforeLines="50" w:line="360" w:lineRule="auto"/>
        <w:ind w:right="300" w:rightChars="143" w:firstLine="420" w:firstLineChars="200"/>
        <w:rPr>
          <w:rFonts w:ascii="宋体" w:hAnsi="宋体"/>
        </w:rPr>
      </w:pPr>
      <w:r>
        <w:rPr>
          <w:rFonts w:hint="eastAsia" w:ascii="宋体" w:hAnsi="宋体"/>
        </w:rPr>
        <w:t>（2）未按照</w:t>
      </w:r>
      <w:r>
        <w:rPr>
          <w:rFonts w:hint="eastAsia" w:ascii="宋体" w:hAnsi="宋体"/>
          <w:bCs/>
        </w:rPr>
        <w:t>竞争性磋商文件</w:t>
      </w:r>
      <w:r>
        <w:rPr>
          <w:rFonts w:hint="eastAsia" w:ascii="宋体" w:hAnsi="宋体"/>
        </w:rPr>
        <w:t>规定要求签署、盖章的；</w:t>
      </w:r>
    </w:p>
    <w:p>
      <w:pPr>
        <w:adjustRightInd w:val="0"/>
        <w:snapToGrid w:val="0"/>
        <w:spacing w:beforeLines="50" w:line="360" w:lineRule="auto"/>
        <w:ind w:right="-109" w:rightChars="-52" w:firstLine="420" w:firstLineChars="200"/>
        <w:rPr>
          <w:rFonts w:ascii="宋体" w:hAnsi="宋体"/>
        </w:rPr>
      </w:pPr>
      <w:r>
        <w:rPr>
          <w:rFonts w:hint="eastAsia" w:ascii="宋体" w:hAnsi="宋体"/>
        </w:rPr>
        <w:t>（3）不满足</w:t>
      </w:r>
      <w:r>
        <w:rPr>
          <w:rFonts w:hint="eastAsia" w:ascii="宋体" w:hAnsi="宋体"/>
          <w:bCs/>
        </w:rPr>
        <w:t>磋商</w:t>
      </w:r>
      <w:r>
        <w:rPr>
          <w:rFonts w:hint="eastAsia" w:ascii="宋体" w:hAnsi="宋体"/>
        </w:rPr>
        <w:t>须知</w:t>
      </w:r>
      <w:r>
        <w:rPr>
          <w:rFonts w:hint="eastAsia" w:ascii="宋体" w:hAnsi="宋体"/>
          <w:bCs/>
        </w:rPr>
        <w:t>规定的</w:t>
      </w:r>
      <w:r>
        <w:rPr>
          <w:rFonts w:hint="eastAsia" w:ascii="宋体" w:hAnsi="宋体"/>
        </w:rPr>
        <w:t>实质性要求的；</w:t>
      </w:r>
    </w:p>
    <w:p>
      <w:pPr>
        <w:adjustRightInd w:val="0"/>
        <w:snapToGrid w:val="0"/>
        <w:spacing w:beforeLines="50" w:line="360" w:lineRule="auto"/>
        <w:ind w:right="-109" w:rightChars="-52" w:firstLine="420" w:firstLineChars="200"/>
        <w:rPr>
          <w:rFonts w:ascii="宋体" w:hAnsi="宋体"/>
        </w:rPr>
      </w:pPr>
      <w:r>
        <w:rPr>
          <w:rFonts w:hint="eastAsia" w:ascii="宋体" w:hAnsi="宋体"/>
        </w:rPr>
        <w:t>（4）报价超过采购项目预算的；</w:t>
      </w:r>
    </w:p>
    <w:p>
      <w:pPr>
        <w:adjustRightInd w:val="0"/>
        <w:snapToGrid w:val="0"/>
        <w:spacing w:beforeLines="50" w:line="360" w:lineRule="auto"/>
        <w:ind w:right="-109" w:rightChars="-52" w:firstLine="420" w:firstLineChars="200"/>
        <w:rPr>
          <w:rFonts w:ascii="宋体" w:hAnsi="宋体"/>
        </w:rPr>
      </w:pPr>
      <w:r>
        <w:rPr>
          <w:rFonts w:hint="eastAsia" w:ascii="宋体" w:hAnsi="宋体"/>
        </w:rPr>
        <w:t>（5）同一</w:t>
      </w:r>
      <w:r>
        <w:rPr>
          <w:rFonts w:hint="eastAsia" w:ascii="宋体" w:hAnsi="宋体" w:cs="宋体"/>
          <w:kern w:val="0"/>
          <w:lang w:val="zh-CN"/>
        </w:rPr>
        <w:t>供应商</w:t>
      </w:r>
      <w:r>
        <w:rPr>
          <w:rFonts w:hint="eastAsia" w:ascii="宋体" w:hAnsi="宋体"/>
        </w:rPr>
        <w:t>提交两个以上不同的竞争性磋商响应文件或者报价的，但</w:t>
      </w:r>
      <w:r>
        <w:rPr>
          <w:rFonts w:hint="eastAsia" w:ascii="宋体" w:hAnsi="宋体"/>
          <w:bCs/>
        </w:rPr>
        <w:t>竞争性磋商</w:t>
      </w:r>
      <w:r>
        <w:rPr>
          <w:rFonts w:hint="eastAsia" w:ascii="宋体" w:hAnsi="宋体"/>
        </w:rPr>
        <w:t>须知允许提交备选方案的除外；</w:t>
      </w:r>
    </w:p>
    <w:p>
      <w:pPr>
        <w:adjustRightInd w:val="0"/>
        <w:snapToGrid w:val="0"/>
        <w:spacing w:beforeLines="50" w:line="360" w:lineRule="auto"/>
        <w:ind w:right="-109" w:rightChars="-52" w:firstLine="420" w:firstLineChars="200"/>
        <w:rPr>
          <w:rFonts w:ascii="宋体" w:hAnsi="宋体"/>
        </w:rPr>
      </w:pPr>
      <w:r>
        <w:rPr>
          <w:rFonts w:hint="eastAsia" w:ascii="宋体" w:hAnsi="宋体"/>
        </w:rPr>
        <w:t>（6）竞争性磋商响应文件有效期不足的；</w:t>
      </w:r>
      <w:r>
        <w:rPr>
          <w:rFonts w:ascii="宋体" w:hAnsi="宋体"/>
        </w:rPr>
        <w:tab/>
      </w:r>
    </w:p>
    <w:p>
      <w:pPr>
        <w:adjustRightInd w:val="0"/>
        <w:snapToGrid w:val="0"/>
        <w:spacing w:beforeLines="50" w:line="360" w:lineRule="auto"/>
        <w:ind w:right="-109" w:rightChars="-52" w:firstLine="420" w:firstLineChars="200"/>
        <w:rPr>
          <w:rFonts w:ascii="宋体" w:hAnsi="宋体"/>
        </w:rPr>
      </w:pPr>
      <w:r>
        <w:rPr>
          <w:rFonts w:hint="eastAsia" w:ascii="宋体" w:hAnsi="宋体"/>
        </w:rPr>
        <w:t>（7）不符合法律、法规和</w:t>
      </w:r>
      <w:r>
        <w:rPr>
          <w:rFonts w:hint="eastAsia" w:ascii="宋体" w:hAnsi="宋体"/>
          <w:bCs/>
        </w:rPr>
        <w:t>竞争性磋商文件</w:t>
      </w:r>
      <w:r>
        <w:rPr>
          <w:rFonts w:hint="eastAsia" w:ascii="宋体" w:hAnsi="宋体"/>
        </w:rPr>
        <w:t>规定的。</w:t>
      </w:r>
    </w:p>
    <w:p>
      <w:pPr>
        <w:adjustRightInd w:val="0"/>
        <w:snapToGrid w:val="0"/>
        <w:spacing w:beforeLines="50" w:line="360" w:lineRule="auto"/>
        <w:ind w:firstLine="411" w:firstLineChars="196"/>
        <w:rPr>
          <w:rFonts w:ascii="宋体" w:hAnsi="宋体"/>
          <w:bCs/>
        </w:rPr>
      </w:pPr>
      <w:r>
        <w:rPr>
          <w:rFonts w:hint="eastAsia" w:ascii="宋体" w:hAnsi="宋体"/>
        </w:rPr>
        <w:t>（8）</w:t>
      </w:r>
      <w:r>
        <w:rPr>
          <w:rFonts w:hint="eastAsia" w:ascii="宋体" w:hAnsi="宋体"/>
          <w:bCs/>
        </w:rPr>
        <w:t>未按竞争性磋商文件要求提交资格证明文件；</w:t>
      </w:r>
    </w:p>
    <w:p>
      <w:pPr>
        <w:adjustRightInd w:val="0"/>
        <w:snapToGrid w:val="0"/>
        <w:spacing w:beforeLines="50" w:line="360" w:lineRule="auto"/>
        <w:ind w:firstLine="516" w:firstLineChars="246"/>
        <w:rPr>
          <w:rFonts w:ascii="宋体" w:hAnsi="宋体"/>
          <w:bCs/>
        </w:rPr>
      </w:pPr>
      <w:r>
        <w:rPr>
          <w:rFonts w:hint="eastAsia" w:ascii="宋体" w:hAnsi="宋体"/>
        </w:rPr>
        <w:t>(9)</w:t>
      </w:r>
      <w:r>
        <w:rPr>
          <w:rFonts w:hint="eastAsia" w:ascii="宋体" w:hAnsi="宋体"/>
          <w:bCs/>
        </w:rPr>
        <w:t>提供的资格证明文件不符合竞争性磋商文件要求或提供虚假资格证明文件的；</w:t>
      </w:r>
    </w:p>
    <w:p>
      <w:pPr>
        <w:adjustRightInd w:val="0"/>
        <w:snapToGrid w:val="0"/>
        <w:spacing w:beforeLines="50" w:line="360" w:lineRule="auto"/>
        <w:ind w:firstLine="411" w:firstLineChars="196"/>
        <w:rPr>
          <w:rFonts w:ascii="宋体" w:hAnsi="宋体"/>
          <w:bCs/>
        </w:rPr>
      </w:pPr>
      <w:r>
        <w:rPr>
          <w:rFonts w:hint="eastAsia" w:ascii="宋体" w:hAnsi="宋体"/>
        </w:rPr>
        <w:t>(10)</w:t>
      </w:r>
      <w:r>
        <w:rPr>
          <w:rFonts w:hint="eastAsia" w:ascii="宋体" w:hAnsi="宋体"/>
          <w:bCs/>
        </w:rPr>
        <w:t>资格证明文件未按竞争性磋商文件要求加盖供应商单位章、</w:t>
      </w:r>
      <w:r>
        <w:rPr>
          <w:rFonts w:hint="eastAsia" w:ascii="宋体" w:hAnsi="宋体"/>
        </w:rPr>
        <w:t>签字</w:t>
      </w:r>
      <w:r>
        <w:rPr>
          <w:rFonts w:hint="eastAsia" w:ascii="宋体" w:hAnsi="宋体"/>
          <w:bCs/>
        </w:rPr>
        <w:t>的；</w:t>
      </w:r>
    </w:p>
    <w:p>
      <w:pPr>
        <w:adjustRightInd w:val="0"/>
        <w:snapToGrid w:val="0"/>
        <w:spacing w:beforeLines="50" w:line="360" w:lineRule="auto"/>
        <w:ind w:firstLine="411" w:firstLineChars="196"/>
        <w:rPr>
          <w:rFonts w:ascii="宋体" w:hAnsi="宋体"/>
          <w:bCs/>
        </w:rPr>
      </w:pPr>
      <w:r>
        <w:rPr>
          <w:rFonts w:hint="eastAsia" w:ascii="宋体" w:hAnsi="宋体"/>
        </w:rPr>
        <w:t>(11)</w:t>
      </w:r>
      <w:r>
        <w:rPr>
          <w:rFonts w:hint="eastAsia" w:ascii="宋体" w:hAnsi="宋体"/>
          <w:bCs/>
        </w:rPr>
        <w:t>资格证明文件过了有效期的或未按有关规定年审合格的。</w:t>
      </w:r>
    </w:p>
    <w:p>
      <w:pPr>
        <w:adjustRightInd w:val="0"/>
        <w:snapToGrid w:val="0"/>
        <w:spacing w:beforeLines="50" w:line="360" w:lineRule="auto"/>
        <w:rPr>
          <w:rFonts w:ascii="宋体" w:hAnsi="宋体"/>
          <w:b/>
          <w:bCs/>
        </w:rPr>
      </w:pPr>
      <w:r>
        <w:rPr>
          <w:rFonts w:hint="eastAsia" w:ascii="宋体" w:hAnsi="宋体"/>
          <w:b/>
          <w:bCs/>
        </w:rPr>
        <w:t>20.</w:t>
      </w:r>
      <w:r>
        <w:rPr>
          <w:rFonts w:hint="eastAsia" w:ascii="宋体" w:hAnsi="宋体"/>
          <w:b/>
        </w:rPr>
        <w:t>竞争性磋商响应文件</w:t>
      </w:r>
      <w:r>
        <w:rPr>
          <w:rFonts w:hint="eastAsia" w:ascii="宋体" w:hAnsi="宋体"/>
          <w:b/>
          <w:bCs/>
        </w:rPr>
        <w:t>的澄清</w:t>
      </w:r>
    </w:p>
    <w:p>
      <w:pPr>
        <w:autoSpaceDE w:val="0"/>
        <w:autoSpaceDN w:val="0"/>
        <w:adjustRightInd w:val="0"/>
        <w:snapToGrid w:val="0"/>
        <w:spacing w:beforeLines="50" w:line="360" w:lineRule="auto"/>
        <w:ind w:firstLine="420" w:firstLineChars="200"/>
        <w:rPr>
          <w:rFonts w:ascii="宋体" w:hAnsi="宋体" w:cs="宋体"/>
          <w:kern w:val="0"/>
          <w:lang w:val="zh-CN"/>
        </w:rPr>
      </w:pPr>
      <w:r>
        <w:rPr>
          <w:rFonts w:hint="eastAsia" w:ascii="宋体" w:hAnsi="宋体"/>
          <w:bCs/>
        </w:rPr>
        <w:t>20.1</w:t>
      </w:r>
      <w:r>
        <w:rPr>
          <w:rFonts w:hint="eastAsia" w:ascii="宋体" w:hAnsi="宋体"/>
          <w:b/>
        </w:rPr>
        <w:t>评标委员会</w:t>
      </w:r>
      <w:r>
        <w:rPr>
          <w:rFonts w:hint="eastAsia" w:ascii="宋体" w:hAnsi="宋体" w:cs="宋体"/>
          <w:kern w:val="0"/>
          <w:lang w:val="zh-CN"/>
        </w:rPr>
        <w:t>在对竞争性磋商响应文件的有效性、完整性和对</w:t>
      </w:r>
      <w:r>
        <w:rPr>
          <w:rFonts w:hint="eastAsia" w:ascii="宋体" w:hAnsi="宋体"/>
          <w:bCs/>
        </w:rPr>
        <w:t>竞争性磋商文件</w:t>
      </w:r>
      <w:r>
        <w:rPr>
          <w:rFonts w:hint="eastAsia" w:ascii="宋体" w:hAnsi="宋体" w:cs="宋体"/>
          <w:kern w:val="0"/>
          <w:lang w:val="zh-CN"/>
        </w:rPr>
        <w:t>的响应程度进行审查时，可以要求供应商对竞争性磋商响应文件中含义不明</w:t>
      </w:r>
      <w:r>
        <w:rPr>
          <w:rFonts w:hint="eastAsia" w:ascii="宋体" w:hAnsi="宋体"/>
          <w:bCs/>
        </w:rPr>
        <w:t>确</w:t>
      </w:r>
      <w:r>
        <w:rPr>
          <w:rFonts w:hint="eastAsia" w:ascii="宋体" w:hAnsi="宋体" w:cs="宋体"/>
          <w:kern w:val="0"/>
          <w:lang w:val="zh-CN"/>
        </w:rPr>
        <w:t>、同类问题表述不一致或者有明显文字和计算错误的内容等作出必要的澄清、说明或者纠正。该要求</w:t>
      </w:r>
      <w:r>
        <w:rPr>
          <w:rFonts w:hint="eastAsia" w:ascii="宋体" w:hAnsi="宋体" w:cs="Arial"/>
        </w:rPr>
        <w:t>应当以</w:t>
      </w:r>
      <w:r>
        <w:rPr>
          <w:rFonts w:hint="eastAsia" w:ascii="宋体" w:hAnsi="宋体" w:cs="宋体"/>
          <w:kern w:val="0"/>
          <w:lang w:val="zh-CN"/>
        </w:rPr>
        <w:t>书面形式作出。供应商的澄清、说明或者补正应当采用书面形式，由其</w:t>
      </w:r>
      <w:r>
        <w:rPr>
          <w:rFonts w:hint="eastAsia" w:ascii="宋体" w:hAnsi="宋体"/>
        </w:rPr>
        <w:t>法定代表人或其委托代理人</w:t>
      </w:r>
      <w:r>
        <w:rPr>
          <w:rFonts w:hint="eastAsia" w:ascii="宋体" w:hAnsi="宋体"/>
          <w:bCs/>
        </w:rPr>
        <w:t>签字</w:t>
      </w:r>
      <w:r>
        <w:rPr>
          <w:rFonts w:hint="eastAsia" w:ascii="宋体" w:hAnsi="宋体" w:cs="宋体"/>
          <w:kern w:val="0"/>
          <w:lang w:val="zh-CN"/>
        </w:rPr>
        <w:t>。供应商的澄清、说明或者更正不得超出</w:t>
      </w:r>
      <w:r>
        <w:rPr>
          <w:rFonts w:hint="eastAsia" w:ascii="宋体" w:hAnsi="宋体"/>
          <w:bCs/>
        </w:rPr>
        <w:t>竞争性磋商文件</w:t>
      </w:r>
      <w:r>
        <w:rPr>
          <w:rFonts w:hint="eastAsia" w:ascii="宋体" w:hAnsi="宋体" w:cs="宋体"/>
          <w:kern w:val="0"/>
          <w:lang w:val="zh-CN"/>
        </w:rPr>
        <w:t>的范围或者改变竞争性磋商响应文件的实质性内容。</w:t>
      </w:r>
    </w:p>
    <w:p>
      <w:pPr>
        <w:adjustRightInd w:val="0"/>
        <w:snapToGrid w:val="0"/>
        <w:spacing w:beforeLines="50" w:line="360" w:lineRule="auto"/>
        <w:ind w:firstLine="420" w:firstLineChars="200"/>
        <w:rPr>
          <w:rFonts w:ascii="宋体" w:hAnsi="宋体"/>
        </w:rPr>
      </w:pPr>
      <w:r>
        <w:rPr>
          <w:rFonts w:hint="eastAsia" w:ascii="宋体" w:hAnsi="宋体"/>
          <w:bCs/>
        </w:rPr>
        <w:t>20.2</w:t>
      </w:r>
      <w:r>
        <w:rPr>
          <w:rFonts w:hint="eastAsia" w:ascii="宋体" w:hAnsi="宋体" w:cs="宋体"/>
          <w:kern w:val="0"/>
          <w:lang w:val="zh-CN"/>
        </w:rPr>
        <w:t>计算</w:t>
      </w:r>
      <w:r>
        <w:rPr>
          <w:rFonts w:hint="eastAsia" w:ascii="宋体" w:hAnsi="宋体"/>
        </w:rPr>
        <w:t>错误修正的原则：单价与总价有出入,以单价为准；大、小写有出入，以大写为准；竞争性磋商响应文件正本与副本有出入，以正本为准。按上述原则修正的竞争性磋商响应文件，对供应商起约束作用，供应商不接受修正的，其竞争性磋商响应文件将被拒绝。</w:t>
      </w:r>
    </w:p>
    <w:p>
      <w:pPr>
        <w:tabs>
          <w:tab w:val="left" w:pos="0"/>
        </w:tabs>
        <w:adjustRightInd w:val="0"/>
        <w:snapToGrid w:val="0"/>
        <w:spacing w:beforeLines="50" w:line="360" w:lineRule="auto"/>
        <w:ind w:firstLine="420" w:firstLineChars="200"/>
        <w:rPr>
          <w:rFonts w:ascii="宋体" w:hAnsi="宋体"/>
          <w:bCs/>
        </w:rPr>
      </w:pPr>
      <w:r>
        <w:rPr>
          <w:rFonts w:hint="eastAsia" w:ascii="宋体" w:hAnsi="宋体"/>
        </w:rPr>
        <w:t>20.3供应商应按</w:t>
      </w:r>
      <w:r>
        <w:rPr>
          <w:rFonts w:hint="eastAsia" w:ascii="宋体" w:hAnsi="宋体"/>
          <w:bCs/>
        </w:rPr>
        <w:t>评标委员会</w:t>
      </w:r>
      <w:r>
        <w:rPr>
          <w:rFonts w:hint="eastAsia" w:ascii="宋体" w:hAnsi="宋体"/>
        </w:rPr>
        <w:t>通知的时间、地点，指派专人进行</w:t>
      </w:r>
      <w:r>
        <w:rPr>
          <w:rFonts w:hint="eastAsia" w:ascii="宋体" w:hAnsi="宋体" w:cs="宋体"/>
          <w:kern w:val="0"/>
          <w:lang w:val="zh-CN"/>
        </w:rPr>
        <w:t>澄清、说明或者补正</w:t>
      </w:r>
      <w:r>
        <w:rPr>
          <w:rFonts w:hint="eastAsia" w:ascii="宋体" w:hAnsi="宋体"/>
        </w:rPr>
        <w:t>。</w:t>
      </w:r>
    </w:p>
    <w:p>
      <w:pPr>
        <w:tabs>
          <w:tab w:val="left" w:pos="0"/>
        </w:tabs>
        <w:adjustRightInd w:val="0"/>
        <w:snapToGrid w:val="0"/>
        <w:spacing w:beforeLines="50" w:line="360" w:lineRule="auto"/>
        <w:rPr>
          <w:rFonts w:ascii="宋体" w:hAnsi="宋体" w:cs="宋体"/>
          <w:kern w:val="0"/>
        </w:rPr>
      </w:pPr>
      <w:r>
        <w:rPr>
          <w:rFonts w:hint="eastAsia" w:ascii="宋体" w:hAnsi="宋体"/>
          <w:b/>
          <w:bCs/>
        </w:rPr>
        <w:t>21、</w:t>
      </w:r>
      <w:r>
        <w:rPr>
          <w:rFonts w:hint="eastAsia" w:ascii="宋体" w:hAnsi="宋体" w:cs="宋体"/>
          <w:kern w:val="0"/>
        </w:rPr>
        <w:t>供应商有下列情形之一的,不得成为成交供应商:</w:t>
      </w:r>
    </w:p>
    <w:p>
      <w:pPr>
        <w:tabs>
          <w:tab w:val="left" w:pos="0"/>
        </w:tabs>
        <w:adjustRightInd w:val="0"/>
        <w:snapToGrid w:val="0"/>
        <w:spacing w:beforeLines="50" w:line="360" w:lineRule="auto"/>
        <w:ind w:firstLine="420" w:firstLineChars="200"/>
        <w:rPr>
          <w:rFonts w:ascii="宋体" w:hAnsi="宋体" w:cs="宋体"/>
          <w:kern w:val="0"/>
        </w:rPr>
      </w:pPr>
      <w:r>
        <w:rPr>
          <w:rFonts w:hint="eastAsia" w:ascii="宋体" w:hAnsi="宋体" w:cs="宋体"/>
          <w:kern w:val="0"/>
        </w:rPr>
        <w:t>（1）竞争性磋商响应文件中提供虚假材料或虚假承诺的；</w:t>
      </w:r>
    </w:p>
    <w:p>
      <w:pPr>
        <w:tabs>
          <w:tab w:val="left" w:pos="0"/>
        </w:tabs>
        <w:adjustRightInd w:val="0"/>
        <w:snapToGrid w:val="0"/>
        <w:spacing w:beforeLines="50" w:line="360" w:lineRule="auto"/>
        <w:ind w:firstLine="420" w:firstLineChars="200"/>
        <w:rPr>
          <w:rFonts w:ascii="宋体" w:hAnsi="宋体" w:cs="宋体"/>
          <w:kern w:val="0"/>
        </w:rPr>
      </w:pPr>
      <w:r>
        <w:rPr>
          <w:rFonts w:hint="eastAsia" w:ascii="宋体" w:hAnsi="宋体" w:cs="宋体"/>
          <w:kern w:val="0"/>
        </w:rPr>
        <w:t>（2）法律法规和竞争性磋商文件规定的其他情形的。</w:t>
      </w:r>
    </w:p>
    <w:p>
      <w:pPr>
        <w:adjustRightInd w:val="0"/>
        <w:snapToGrid w:val="0"/>
        <w:spacing w:beforeLines="50" w:line="360" w:lineRule="auto"/>
        <w:ind w:left="632" w:hanging="632" w:hangingChars="300"/>
        <w:rPr>
          <w:rFonts w:ascii="宋体" w:hAnsi="宋体"/>
          <w:b/>
        </w:rPr>
      </w:pPr>
      <w:r>
        <w:rPr>
          <w:rFonts w:hint="eastAsia" w:ascii="宋体" w:hAnsi="宋体"/>
          <w:b/>
        </w:rPr>
        <w:t>22.竞争性磋商终止</w:t>
      </w:r>
    </w:p>
    <w:p>
      <w:pPr>
        <w:tabs>
          <w:tab w:val="left" w:pos="0"/>
        </w:tabs>
        <w:adjustRightInd w:val="0"/>
        <w:snapToGrid w:val="0"/>
        <w:spacing w:beforeLines="50" w:line="360" w:lineRule="auto"/>
        <w:ind w:firstLine="420" w:firstLineChars="200"/>
        <w:rPr>
          <w:rFonts w:ascii="宋体" w:hAnsi="宋体"/>
          <w:bCs/>
        </w:rPr>
      </w:pPr>
      <w:r>
        <w:rPr>
          <w:rFonts w:hint="eastAsia" w:ascii="宋体" w:hAnsi="宋体"/>
          <w:bCs/>
        </w:rPr>
        <w:t>22.1 竞争性磋商谈判时，出现下列情况之一，本次竞争性磋商终止：</w:t>
      </w:r>
    </w:p>
    <w:p>
      <w:pPr>
        <w:tabs>
          <w:tab w:val="left" w:pos="0"/>
        </w:tabs>
        <w:adjustRightInd w:val="0"/>
        <w:snapToGrid w:val="0"/>
        <w:spacing w:beforeLines="50" w:line="360" w:lineRule="auto"/>
        <w:ind w:firstLine="420" w:firstLineChars="200"/>
        <w:rPr>
          <w:rFonts w:ascii="宋体" w:hAnsi="宋体"/>
          <w:bCs/>
        </w:rPr>
      </w:pPr>
      <w:r>
        <w:rPr>
          <w:rFonts w:hint="eastAsia" w:ascii="宋体" w:hAnsi="宋体"/>
          <w:bCs/>
        </w:rPr>
        <w:t>（1）出现影响采购公正的违法、违规行为的；</w:t>
      </w:r>
    </w:p>
    <w:p>
      <w:pPr>
        <w:tabs>
          <w:tab w:val="left" w:pos="0"/>
        </w:tabs>
        <w:adjustRightInd w:val="0"/>
        <w:snapToGrid w:val="0"/>
        <w:spacing w:beforeLines="50" w:line="360" w:lineRule="auto"/>
        <w:ind w:firstLine="420" w:firstLineChars="200"/>
        <w:rPr>
          <w:rFonts w:ascii="宋体" w:hAnsi="宋体"/>
          <w:bCs/>
        </w:rPr>
      </w:pPr>
      <w:r>
        <w:rPr>
          <w:rFonts w:hint="eastAsia" w:ascii="宋体" w:hAnsi="宋体" w:cs="宋体"/>
          <w:kern w:val="0"/>
          <w:lang w:val="zh-CN"/>
        </w:rPr>
        <w:t>（2）投标供应商的报价均超过了招标控制价，招标人不能支付的；</w:t>
      </w:r>
    </w:p>
    <w:p>
      <w:pPr>
        <w:tabs>
          <w:tab w:val="left" w:pos="0"/>
        </w:tabs>
        <w:adjustRightInd w:val="0"/>
        <w:snapToGrid w:val="0"/>
        <w:spacing w:beforeLines="50" w:line="360" w:lineRule="auto"/>
        <w:ind w:firstLine="420" w:firstLineChars="200"/>
        <w:rPr>
          <w:rFonts w:ascii="宋体" w:hAnsi="宋体"/>
          <w:bCs/>
        </w:rPr>
      </w:pPr>
      <w:r>
        <w:rPr>
          <w:rFonts w:hint="eastAsia" w:ascii="宋体" w:hAnsi="宋体"/>
          <w:bCs/>
        </w:rPr>
        <w:t>（3）因重大变故，采购任务取消的。</w:t>
      </w:r>
    </w:p>
    <w:p>
      <w:pPr>
        <w:tabs>
          <w:tab w:val="left" w:pos="0"/>
        </w:tabs>
        <w:adjustRightInd w:val="0"/>
        <w:snapToGrid w:val="0"/>
        <w:spacing w:beforeLines="50" w:line="360" w:lineRule="auto"/>
        <w:ind w:firstLine="420" w:firstLineChars="200"/>
        <w:rPr>
          <w:rFonts w:ascii="宋体" w:hAnsi="宋体"/>
          <w:bCs/>
        </w:rPr>
      </w:pPr>
      <w:r>
        <w:rPr>
          <w:rFonts w:hint="eastAsia" w:ascii="宋体" w:hAnsi="宋体"/>
          <w:bCs/>
        </w:rPr>
        <w:t xml:space="preserve">22.2 </w:t>
      </w:r>
      <w:r>
        <w:rPr>
          <w:rFonts w:hint="eastAsia" w:ascii="宋体" w:hAnsi="宋体"/>
          <w:b/>
        </w:rPr>
        <w:t>评标委员会</w:t>
      </w:r>
      <w:r>
        <w:rPr>
          <w:rFonts w:hint="eastAsia" w:ascii="宋体" w:hAnsi="宋体"/>
          <w:bCs/>
        </w:rPr>
        <w:t>应将竞争性磋商终止理由通知所有参与竞争性磋商的供应商。</w:t>
      </w:r>
    </w:p>
    <w:p>
      <w:pPr>
        <w:spacing w:line="400" w:lineRule="exact"/>
        <w:rPr>
          <w:rFonts w:ascii="宋体" w:hAnsi="宋体" w:cs="宋体"/>
          <w:kern w:val="0"/>
          <w:lang w:val="zh-CN"/>
        </w:rPr>
      </w:pPr>
      <w:r>
        <w:rPr>
          <w:rFonts w:hint="eastAsia" w:ascii="宋体" w:hAnsi="宋体"/>
          <w:b/>
          <w:bCs/>
        </w:rPr>
        <w:t>23. 保密要求</w:t>
      </w:r>
    </w:p>
    <w:p>
      <w:pPr>
        <w:adjustRightInd w:val="0"/>
        <w:snapToGrid w:val="0"/>
        <w:spacing w:beforeLines="50" w:line="360" w:lineRule="auto"/>
        <w:ind w:firstLine="420" w:firstLineChars="200"/>
        <w:rPr>
          <w:rFonts w:ascii="宋体" w:hAnsi="宋体"/>
        </w:rPr>
      </w:pPr>
      <w:r>
        <w:rPr>
          <w:rFonts w:hint="eastAsia" w:ascii="宋体" w:hAnsi="宋体"/>
        </w:rPr>
        <w:t>23.1评标委员会以及与评审工作有关的人员对评审情况以及评审过程中获悉的国家秘密、商业秘密应当保密。</w:t>
      </w:r>
    </w:p>
    <w:p>
      <w:pPr>
        <w:adjustRightInd w:val="0"/>
        <w:snapToGrid w:val="0"/>
        <w:spacing w:beforeLines="50" w:line="360" w:lineRule="auto"/>
        <w:rPr>
          <w:rFonts w:ascii="宋体" w:hAnsi="宋体"/>
          <w:b/>
        </w:rPr>
      </w:pPr>
      <w:r>
        <w:rPr>
          <w:rFonts w:hint="eastAsia" w:ascii="宋体" w:hAnsi="宋体"/>
          <w:b/>
        </w:rPr>
        <w:t>六、成交结果信息公布与供应商质疑</w:t>
      </w:r>
    </w:p>
    <w:p>
      <w:pPr>
        <w:adjustRightInd w:val="0"/>
        <w:snapToGrid w:val="0"/>
        <w:spacing w:beforeLines="50" w:line="360" w:lineRule="auto"/>
        <w:rPr>
          <w:rFonts w:ascii="宋体" w:hAnsi="宋体"/>
          <w:b/>
          <w:bCs/>
        </w:rPr>
      </w:pPr>
      <w:r>
        <w:rPr>
          <w:rFonts w:hint="eastAsia" w:ascii="宋体" w:hAnsi="宋体"/>
          <w:b/>
          <w:bCs/>
        </w:rPr>
        <w:t>24.成交信息的公布</w:t>
      </w:r>
    </w:p>
    <w:p>
      <w:pPr>
        <w:adjustRightInd w:val="0"/>
        <w:snapToGrid w:val="0"/>
        <w:spacing w:beforeLines="50" w:line="360" w:lineRule="auto"/>
        <w:ind w:firstLine="420" w:firstLineChars="200"/>
        <w:rPr>
          <w:rFonts w:ascii="宋体" w:hAnsi="宋体"/>
        </w:rPr>
      </w:pPr>
      <w:r>
        <w:rPr>
          <w:rFonts w:hint="eastAsia" w:ascii="宋体" w:hAnsi="宋体"/>
        </w:rPr>
        <w:t>24.1 竞争性磋商结束后，成交结果信息将在</w:t>
      </w:r>
      <w:r>
        <w:rPr>
          <w:rFonts w:hint="eastAsia" w:ascii="宋体" w:hAnsi="宋体"/>
          <w:b/>
        </w:rPr>
        <w:t>芜湖市公共资源交易服务</w:t>
      </w:r>
      <w:r>
        <w:rPr>
          <w:rFonts w:hint="eastAsia" w:ascii="宋体" w:hAnsi="宋体"/>
        </w:rPr>
        <w:t>网上公布。</w:t>
      </w:r>
    </w:p>
    <w:p>
      <w:pPr>
        <w:adjustRightInd w:val="0"/>
        <w:snapToGrid w:val="0"/>
        <w:spacing w:beforeLines="50" w:line="360" w:lineRule="auto"/>
        <w:rPr>
          <w:rFonts w:ascii="宋体" w:hAnsi="宋体"/>
          <w:b/>
          <w:bCs/>
        </w:rPr>
      </w:pPr>
      <w:r>
        <w:rPr>
          <w:rFonts w:hint="eastAsia" w:ascii="宋体" w:hAnsi="宋体"/>
          <w:b/>
          <w:bCs/>
        </w:rPr>
        <w:t>25.询问及质疑</w:t>
      </w:r>
    </w:p>
    <w:p>
      <w:pPr>
        <w:adjustRightInd w:val="0"/>
        <w:snapToGrid w:val="0"/>
        <w:spacing w:beforeLines="50" w:line="360" w:lineRule="auto"/>
        <w:ind w:firstLine="420" w:firstLineChars="200"/>
        <w:jc w:val="left"/>
        <w:rPr>
          <w:rFonts w:ascii="宋体" w:hAnsi="宋体"/>
        </w:rPr>
      </w:pPr>
      <w:r>
        <w:rPr>
          <w:rFonts w:hint="eastAsia" w:ascii="宋体" w:hAnsi="宋体"/>
          <w:color w:val="000000"/>
        </w:rPr>
        <w:t>25.1供应商</w:t>
      </w:r>
      <w:r>
        <w:rPr>
          <w:rFonts w:hint="eastAsia" w:ascii="宋体" w:hAnsi="宋体"/>
        </w:rPr>
        <w:t>对政府采购活动事项有疑问的，可以向招标人或</w:t>
      </w:r>
      <w:r>
        <w:rPr>
          <w:rFonts w:hint="eastAsia" w:ascii="宋体" w:hAnsi="宋体"/>
          <w:color w:val="000000"/>
        </w:rPr>
        <w:t>采购代理机构</w:t>
      </w:r>
      <w:r>
        <w:rPr>
          <w:rFonts w:hint="eastAsia" w:ascii="宋体" w:hAnsi="宋体"/>
        </w:rPr>
        <w:t>提出询问。</w:t>
      </w:r>
      <w:r>
        <w:rPr>
          <w:rFonts w:hint="eastAsia" w:ascii="宋体" w:hAnsi="宋体"/>
          <w:color w:val="000000"/>
        </w:rPr>
        <w:t>招标人</w:t>
      </w:r>
      <w:r>
        <w:rPr>
          <w:rFonts w:hint="eastAsia" w:ascii="宋体" w:hAnsi="宋体"/>
        </w:rPr>
        <w:t>或</w:t>
      </w:r>
      <w:r>
        <w:rPr>
          <w:rFonts w:hint="eastAsia" w:ascii="宋体" w:hAnsi="宋体"/>
          <w:color w:val="000000"/>
        </w:rPr>
        <w:t>采购代理机构将在三个工作日内作出答复。</w:t>
      </w:r>
    </w:p>
    <w:p>
      <w:pPr>
        <w:adjustRightInd w:val="0"/>
        <w:snapToGrid w:val="0"/>
        <w:spacing w:beforeLines="50" w:line="360" w:lineRule="auto"/>
        <w:ind w:firstLine="420" w:firstLineChars="200"/>
        <w:jc w:val="left"/>
        <w:rPr>
          <w:rFonts w:ascii="宋体" w:hAnsi="宋体"/>
          <w:color w:val="000000"/>
        </w:rPr>
      </w:pPr>
      <w:r>
        <w:rPr>
          <w:rFonts w:hint="eastAsia" w:ascii="宋体" w:hAnsi="宋体"/>
          <w:color w:val="000000"/>
        </w:rPr>
        <w:t>25.2供应商若</w:t>
      </w:r>
      <w:r>
        <w:rPr>
          <w:rFonts w:hint="eastAsia" w:ascii="宋体" w:hAnsi="宋体"/>
        </w:rPr>
        <w:t>认为竞争性磋商文件、采购过程和成交结果使自己的权益受到损害，应当在下列时间内以书面形式向招标人或采购代理机构提出：</w:t>
      </w:r>
    </w:p>
    <w:p>
      <w:pPr>
        <w:adjustRightInd w:val="0"/>
        <w:snapToGrid w:val="0"/>
        <w:spacing w:beforeLines="50" w:line="360" w:lineRule="auto"/>
        <w:ind w:firstLine="420" w:firstLineChars="200"/>
        <w:jc w:val="left"/>
        <w:rPr>
          <w:rFonts w:ascii="宋体" w:hAnsi="宋体" w:cs="宋体"/>
          <w:kern w:val="0"/>
          <w:lang w:val="zh-CN"/>
        </w:rPr>
      </w:pPr>
      <w:r>
        <w:rPr>
          <w:rFonts w:hint="eastAsia" w:ascii="宋体" w:hAnsi="宋体"/>
        </w:rPr>
        <w:t>（1）关于竞争性磋商文件的质疑，应在</w:t>
      </w:r>
      <w:r>
        <w:rPr>
          <w:rFonts w:hint="eastAsia" w:ascii="宋体" w:hAnsi="宋体" w:cs="宋体"/>
          <w:kern w:val="0"/>
          <w:lang w:val="zh-CN"/>
        </w:rPr>
        <w:t>递交竞争性磋商响应文件截止时间前</w:t>
      </w:r>
      <w:r>
        <w:rPr>
          <w:rFonts w:hint="eastAsia" w:ascii="宋体" w:hAnsi="宋体"/>
        </w:rPr>
        <w:t>提出。</w:t>
      </w:r>
    </w:p>
    <w:p>
      <w:pPr>
        <w:adjustRightInd w:val="0"/>
        <w:snapToGrid w:val="0"/>
        <w:spacing w:beforeLines="50" w:line="360" w:lineRule="auto"/>
        <w:ind w:firstLine="420" w:firstLineChars="200"/>
        <w:jc w:val="left"/>
        <w:rPr>
          <w:rFonts w:ascii="宋体" w:hAnsi="宋体"/>
          <w:color w:val="000000"/>
        </w:rPr>
      </w:pPr>
      <w:r>
        <w:rPr>
          <w:rFonts w:hint="eastAsia" w:ascii="宋体" w:hAnsi="宋体"/>
        </w:rPr>
        <w:t>（2）关于采购过程的质疑，应</w:t>
      </w:r>
      <w:r>
        <w:rPr>
          <w:rFonts w:hint="eastAsia" w:ascii="宋体" w:hAnsi="宋体"/>
          <w:color w:val="000000"/>
        </w:rPr>
        <w:t>在采购程序环节结束之日起</w:t>
      </w:r>
      <w:r>
        <w:rPr>
          <w:rFonts w:hint="eastAsia" w:ascii="宋体" w:hAnsi="宋体"/>
        </w:rPr>
        <w:t>七个工作日内提出。</w:t>
      </w:r>
    </w:p>
    <w:p>
      <w:pPr>
        <w:adjustRightInd w:val="0"/>
        <w:snapToGrid w:val="0"/>
        <w:spacing w:beforeLines="50" w:line="360" w:lineRule="auto"/>
        <w:ind w:firstLine="420" w:firstLineChars="200"/>
        <w:jc w:val="left"/>
        <w:rPr>
          <w:rFonts w:ascii="宋体" w:hAnsi="宋体"/>
          <w:color w:val="000000"/>
        </w:rPr>
      </w:pPr>
      <w:r>
        <w:rPr>
          <w:rFonts w:hint="eastAsia" w:ascii="宋体" w:hAnsi="宋体"/>
        </w:rPr>
        <w:t>（3）关于成交结果的质疑，应</w:t>
      </w:r>
      <w:r>
        <w:rPr>
          <w:rFonts w:hint="eastAsia" w:ascii="宋体" w:hAnsi="宋体"/>
          <w:color w:val="000000"/>
        </w:rPr>
        <w:t>在</w:t>
      </w:r>
      <w:r>
        <w:rPr>
          <w:rFonts w:hint="eastAsia" w:ascii="宋体" w:hAnsi="宋体"/>
        </w:rPr>
        <w:t>成交结果信息</w:t>
      </w:r>
      <w:r>
        <w:rPr>
          <w:rFonts w:hint="eastAsia" w:ascii="宋体" w:hAnsi="宋体"/>
          <w:color w:val="000000"/>
        </w:rPr>
        <w:t>发布后</w:t>
      </w:r>
      <w:r>
        <w:rPr>
          <w:rFonts w:hint="eastAsia" w:ascii="宋体" w:hAnsi="宋体"/>
        </w:rPr>
        <w:t>七个工作日内提出。</w:t>
      </w:r>
    </w:p>
    <w:p>
      <w:pPr>
        <w:adjustRightInd w:val="0"/>
        <w:snapToGrid w:val="0"/>
        <w:spacing w:beforeLines="50" w:line="360" w:lineRule="auto"/>
        <w:ind w:firstLine="420" w:firstLineChars="200"/>
        <w:jc w:val="left"/>
        <w:rPr>
          <w:rFonts w:ascii="宋体" w:hAnsi="宋体"/>
        </w:rPr>
      </w:pPr>
      <w:r>
        <w:rPr>
          <w:rFonts w:hint="eastAsia" w:ascii="宋体" w:hAnsi="宋体"/>
        </w:rPr>
        <w:t>25.3 供应商提出质疑的，应当提供质疑书原件。招标人向质疑供应商签收回执。</w:t>
      </w:r>
    </w:p>
    <w:p>
      <w:pPr>
        <w:adjustRightInd w:val="0"/>
        <w:snapToGrid w:val="0"/>
        <w:spacing w:beforeLines="50" w:line="360" w:lineRule="auto"/>
        <w:ind w:firstLine="420" w:firstLineChars="200"/>
        <w:jc w:val="left"/>
        <w:rPr>
          <w:rFonts w:ascii="宋体" w:hAnsi="宋体"/>
        </w:rPr>
      </w:pPr>
      <w:r>
        <w:rPr>
          <w:rFonts w:hint="eastAsia" w:ascii="宋体" w:hAnsi="宋体"/>
        </w:rPr>
        <w:t>25.4 质疑书应当包括下列内容：</w:t>
      </w:r>
    </w:p>
    <w:p>
      <w:pPr>
        <w:adjustRightInd w:val="0"/>
        <w:snapToGrid w:val="0"/>
        <w:spacing w:beforeLines="50" w:line="360" w:lineRule="auto"/>
        <w:ind w:firstLine="420" w:firstLineChars="200"/>
        <w:jc w:val="left"/>
        <w:rPr>
          <w:rFonts w:ascii="宋体" w:hAnsi="宋体"/>
        </w:rPr>
      </w:pPr>
      <w:r>
        <w:rPr>
          <w:rFonts w:hint="eastAsia" w:ascii="宋体" w:hAnsi="宋体"/>
        </w:rPr>
        <w:t>（1）质疑供应商的名称、地址及有效联系方式；</w:t>
      </w:r>
    </w:p>
    <w:p>
      <w:pPr>
        <w:adjustRightInd w:val="0"/>
        <w:snapToGrid w:val="0"/>
        <w:spacing w:beforeLines="50" w:line="360" w:lineRule="auto"/>
        <w:ind w:firstLine="420" w:firstLineChars="200"/>
        <w:jc w:val="left"/>
        <w:rPr>
          <w:rFonts w:ascii="宋体" w:hAnsi="宋体"/>
        </w:rPr>
      </w:pPr>
      <w:r>
        <w:rPr>
          <w:rFonts w:hint="eastAsia" w:ascii="宋体" w:hAnsi="宋体"/>
        </w:rPr>
        <w:t>（2）质疑事项；</w:t>
      </w:r>
    </w:p>
    <w:p>
      <w:pPr>
        <w:adjustRightInd w:val="0"/>
        <w:snapToGrid w:val="0"/>
        <w:spacing w:beforeLines="50" w:line="360" w:lineRule="auto"/>
        <w:ind w:firstLine="420" w:firstLineChars="200"/>
        <w:jc w:val="left"/>
        <w:rPr>
          <w:rFonts w:ascii="宋体" w:hAnsi="宋体"/>
        </w:rPr>
      </w:pPr>
      <w:r>
        <w:rPr>
          <w:rFonts w:hint="eastAsia" w:ascii="宋体" w:hAnsi="宋体"/>
        </w:rPr>
        <w:t>（3）事实依据及相关证明材料；</w:t>
      </w:r>
    </w:p>
    <w:p>
      <w:pPr>
        <w:adjustRightInd w:val="0"/>
        <w:snapToGrid w:val="0"/>
        <w:spacing w:beforeLines="50" w:line="360" w:lineRule="auto"/>
        <w:ind w:firstLine="420" w:firstLineChars="200"/>
        <w:jc w:val="left"/>
        <w:rPr>
          <w:rFonts w:ascii="宋体" w:hAnsi="宋体"/>
        </w:rPr>
      </w:pPr>
      <w:r>
        <w:rPr>
          <w:rFonts w:hint="eastAsia" w:ascii="宋体" w:hAnsi="宋体"/>
        </w:rPr>
        <w:t>（4）相关请求及主张。</w:t>
      </w:r>
    </w:p>
    <w:p>
      <w:pPr>
        <w:adjustRightInd w:val="0"/>
        <w:snapToGrid w:val="0"/>
        <w:spacing w:beforeLines="50" w:line="360" w:lineRule="auto"/>
        <w:ind w:firstLine="420" w:firstLineChars="200"/>
        <w:jc w:val="left"/>
        <w:rPr>
          <w:rFonts w:ascii="宋体" w:hAnsi="宋体"/>
        </w:rPr>
      </w:pPr>
      <w:r>
        <w:rPr>
          <w:rFonts w:hint="eastAsia" w:ascii="宋体" w:hAnsi="宋体"/>
        </w:rPr>
        <w:t>25.5 质疑书应当由质疑供应商法定代表人或授权代表人签字并加盖公章，质疑书由授权代表人签字的应附法定代表人授权书。</w:t>
      </w:r>
    </w:p>
    <w:p>
      <w:pPr>
        <w:adjustRightInd w:val="0"/>
        <w:snapToGrid w:val="0"/>
        <w:spacing w:beforeLines="50" w:line="360" w:lineRule="auto"/>
        <w:ind w:firstLine="420" w:firstLineChars="200"/>
        <w:jc w:val="left"/>
        <w:rPr>
          <w:rFonts w:ascii="宋体" w:hAnsi="宋体"/>
          <w:color w:val="000000"/>
        </w:rPr>
      </w:pPr>
      <w:r>
        <w:rPr>
          <w:rFonts w:hint="eastAsia" w:ascii="宋体" w:hAnsi="宋体"/>
          <w:color w:val="000000"/>
        </w:rPr>
        <w:t xml:space="preserve">25.6 </w:t>
      </w:r>
      <w:r>
        <w:rPr>
          <w:rFonts w:hint="eastAsia" w:ascii="宋体" w:hAnsi="宋体"/>
        </w:rPr>
        <w:t>招标人或采购代理机构</w:t>
      </w:r>
      <w:r>
        <w:rPr>
          <w:rFonts w:hint="eastAsia" w:ascii="宋体" w:hAnsi="宋体"/>
          <w:color w:val="000000"/>
        </w:rPr>
        <w:t>将在签收回执之日起七个工作日内作出书面答复，并以书面形式通知与质疑处理结果有关的供应商。</w:t>
      </w:r>
    </w:p>
    <w:p>
      <w:pPr>
        <w:adjustRightInd w:val="0"/>
        <w:snapToGrid w:val="0"/>
        <w:spacing w:beforeLines="50" w:line="360" w:lineRule="auto"/>
        <w:ind w:firstLine="420" w:firstLineChars="200"/>
        <w:jc w:val="left"/>
        <w:rPr>
          <w:rFonts w:ascii="宋体" w:hAnsi="宋体"/>
          <w:color w:val="000000"/>
        </w:rPr>
      </w:pPr>
      <w:r>
        <w:rPr>
          <w:rFonts w:hint="eastAsia" w:ascii="宋体" w:hAnsi="宋体"/>
          <w:color w:val="000000"/>
        </w:rPr>
        <w:t>25.7供应商对招标人或采购代理机构无正当理由拒绝受理质疑的，可书面向政府采购监管部门反映情况；供应商对</w:t>
      </w:r>
      <w:r>
        <w:rPr>
          <w:rFonts w:hint="eastAsia" w:ascii="宋体" w:hAnsi="宋体"/>
        </w:rPr>
        <w:t>招标人或采购代理机构</w:t>
      </w:r>
      <w:r>
        <w:rPr>
          <w:rFonts w:hint="eastAsia" w:ascii="宋体" w:hAnsi="宋体"/>
          <w:color w:val="000000"/>
        </w:rPr>
        <w:t>的答复不满意，或</w:t>
      </w:r>
      <w:r>
        <w:rPr>
          <w:rFonts w:hint="eastAsia" w:ascii="宋体" w:hAnsi="宋体"/>
        </w:rPr>
        <w:t>招标人或采购代理机构</w:t>
      </w:r>
      <w:r>
        <w:rPr>
          <w:rFonts w:hint="eastAsia" w:ascii="宋体" w:hAnsi="宋体"/>
          <w:color w:val="000000"/>
        </w:rPr>
        <w:t>未在规定的期限作出答复的，可在答复期满后十五个工作日内，按政府采购相关法律法规规章的规定及程序提出投诉。</w:t>
      </w:r>
    </w:p>
    <w:p>
      <w:pPr>
        <w:adjustRightInd w:val="0"/>
        <w:snapToGrid w:val="0"/>
        <w:spacing w:beforeLines="50" w:line="360" w:lineRule="auto"/>
        <w:rPr>
          <w:rFonts w:ascii="宋体" w:hAnsi="宋体"/>
          <w:b/>
          <w:bCs/>
        </w:rPr>
      </w:pPr>
      <w:r>
        <w:rPr>
          <w:rFonts w:hint="eastAsia" w:ascii="宋体" w:hAnsi="宋体"/>
          <w:b/>
          <w:bCs/>
        </w:rPr>
        <w:t>26.成交通知</w:t>
      </w:r>
    </w:p>
    <w:p>
      <w:pPr>
        <w:adjustRightInd w:val="0"/>
        <w:snapToGrid w:val="0"/>
        <w:spacing w:beforeLines="50" w:line="360" w:lineRule="auto"/>
        <w:ind w:firstLine="420" w:firstLineChars="200"/>
        <w:rPr>
          <w:rFonts w:ascii="宋体" w:hAnsi="宋体"/>
        </w:rPr>
      </w:pPr>
      <w:r>
        <w:rPr>
          <w:rFonts w:hint="eastAsia" w:ascii="宋体" w:hAnsi="宋体"/>
        </w:rPr>
        <w:t>26.1 成交供应商确定后，</w:t>
      </w:r>
      <w:r>
        <w:rPr>
          <w:rFonts w:hint="eastAsia" w:ascii="宋体" w:hAnsi="宋体"/>
          <w:color w:val="000000"/>
        </w:rPr>
        <w:t>采购代理机构将以书面形式向</w:t>
      </w:r>
      <w:r>
        <w:rPr>
          <w:rFonts w:hint="eastAsia" w:ascii="宋体" w:hAnsi="宋体"/>
        </w:rPr>
        <w:t>成交供应商</w:t>
      </w:r>
      <w:r>
        <w:rPr>
          <w:rFonts w:hint="eastAsia" w:ascii="宋体" w:hAnsi="宋体"/>
          <w:color w:val="000000"/>
        </w:rPr>
        <w:t>发出</w:t>
      </w:r>
      <w:r>
        <w:rPr>
          <w:rFonts w:hint="eastAsia" w:ascii="宋体" w:hAnsi="宋体"/>
        </w:rPr>
        <w:t>成交</w:t>
      </w:r>
      <w:r>
        <w:rPr>
          <w:rFonts w:hint="eastAsia" w:ascii="宋体" w:hAnsi="宋体"/>
          <w:color w:val="000000"/>
        </w:rPr>
        <w:t>通知书。</w:t>
      </w:r>
      <w:r>
        <w:rPr>
          <w:rFonts w:hint="eastAsia" w:ascii="宋体" w:hAnsi="宋体"/>
        </w:rPr>
        <w:t>成交通知书对招标人和成交供应商具有同等法律效力。</w:t>
      </w:r>
    </w:p>
    <w:p>
      <w:pPr>
        <w:adjustRightInd w:val="0"/>
        <w:snapToGrid w:val="0"/>
        <w:spacing w:beforeLines="50" w:line="360" w:lineRule="auto"/>
        <w:ind w:firstLine="420" w:firstLineChars="200"/>
        <w:rPr>
          <w:rFonts w:ascii="宋体" w:hAnsi="宋体"/>
        </w:rPr>
      </w:pPr>
      <w:r>
        <w:rPr>
          <w:rFonts w:hint="eastAsia" w:ascii="宋体" w:hAnsi="宋体"/>
        </w:rPr>
        <w:t>26.2 成交通知书是合同文件的组成部分。</w:t>
      </w:r>
    </w:p>
    <w:p>
      <w:pPr>
        <w:adjustRightInd w:val="0"/>
        <w:snapToGrid w:val="0"/>
        <w:spacing w:beforeLines="50" w:line="360" w:lineRule="auto"/>
        <w:ind w:firstLine="420" w:firstLineChars="200"/>
        <w:rPr>
          <w:rFonts w:ascii="宋体" w:hAnsi="宋体"/>
        </w:rPr>
      </w:pPr>
      <w:r>
        <w:rPr>
          <w:rFonts w:hint="eastAsia" w:ascii="宋体" w:hAnsi="宋体" w:cs="宋体"/>
          <w:color w:val="000000"/>
          <w:kern w:val="0"/>
        </w:rPr>
        <w:t>26.3</w:t>
      </w:r>
      <w:r>
        <w:rPr>
          <w:rFonts w:hint="eastAsia" w:ascii="宋体" w:hAnsi="宋体"/>
        </w:rPr>
        <w:t>成交供应商在收到</w:t>
      </w:r>
      <w:r>
        <w:rPr>
          <w:rFonts w:hint="eastAsia" w:ascii="宋体" w:hAnsi="宋体"/>
          <w:color w:val="000000"/>
        </w:rPr>
        <w:t>采购代理机构</w:t>
      </w:r>
      <w:r>
        <w:rPr>
          <w:rFonts w:hint="eastAsia" w:ascii="宋体" w:hAnsi="宋体"/>
        </w:rPr>
        <w:t>的成交通知书后十日内，应按照</w:t>
      </w:r>
      <w:r>
        <w:rPr>
          <w:rFonts w:hint="eastAsia" w:ascii="宋体" w:hAnsi="宋体"/>
          <w:b/>
        </w:rPr>
        <w:t>供应商须知前附表</w:t>
      </w:r>
      <w:r>
        <w:rPr>
          <w:rFonts w:hint="eastAsia" w:ascii="宋体" w:hAnsi="宋体"/>
        </w:rPr>
        <w:t>的规定，向招标人提交履约保证金，没有提交履约保证金的，</w:t>
      </w:r>
      <w:r>
        <w:rPr>
          <w:rFonts w:hint="eastAsia" w:ascii="宋体" w:hAnsi="宋体"/>
          <w:spacing w:val="4"/>
        </w:rPr>
        <w:t>视为放弃</w:t>
      </w:r>
      <w:r>
        <w:rPr>
          <w:rFonts w:hint="eastAsia" w:ascii="宋体" w:hAnsi="宋体"/>
        </w:rPr>
        <w:t>成交</w:t>
      </w:r>
      <w:r>
        <w:rPr>
          <w:rFonts w:hint="eastAsia" w:ascii="宋体" w:hAnsi="宋体"/>
          <w:spacing w:val="4"/>
        </w:rPr>
        <w:t>，</w:t>
      </w:r>
      <w:r>
        <w:rPr>
          <w:rFonts w:hint="eastAsia" w:ascii="宋体" w:hAnsi="宋体"/>
          <w:spacing w:val="2"/>
        </w:rPr>
        <w:t>其保证金不予退还。</w:t>
      </w:r>
    </w:p>
    <w:p>
      <w:pPr>
        <w:adjustRightInd w:val="0"/>
        <w:snapToGrid w:val="0"/>
        <w:spacing w:beforeLines="50" w:line="360" w:lineRule="auto"/>
        <w:rPr>
          <w:rFonts w:ascii="宋体" w:hAnsi="宋体"/>
          <w:b/>
          <w:bCs/>
        </w:rPr>
      </w:pPr>
      <w:r>
        <w:rPr>
          <w:rFonts w:hint="eastAsia" w:ascii="宋体" w:hAnsi="宋体"/>
          <w:b/>
          <w:bCs/>
        </w:rPr>
        <w:t>27.签订</w:t>
      </w:r>
      <w:r>
        <w:rPr>
          <w:rFonts w:hint="eastAsia" w:ascii="宋体" w:hAnsi="宋体"/>
          <w:b/>
        </w:rPr>
        <w:t>政府采购</w:t>
      </w:r>
      <w:r>
        <w:rPr>
          <w:rFonts w:hint="eastAsia" w:ascii="宋体" w:hAnsi="宋体"/>
          <w:b/>
          <w:bCs/>
        </w:rPr>
        <w:t>合同</w:t>
      </w:r>
    </w:p>
    <w:p>
      <w:pPr>
        <w:adjustRightInd w:val="0"/>
        <w:snapToGrid w:val="0"/>
        <w:spacing w:beforeLines="50" w:line="360" w:lineRule="auto"/>
        <w:ind w:firstLine="420" w:firstLineChars="200"/>
        <w:rPr>
          <w:rFonts w:ascii="宋体" w:hAnsi="宋体"/>
        </w:rPr>
      </w:pPr>
      <w:r>
        <w:rPr>
          <w:rFonts w:hint="eastAsia" w:ascii="宋体" w:hAnsi="宋体"/>
        </w:rPr>
        <w:t>27.1 竞争性磋商文件、成交供应商的竞争性磋商响应文件等均为签订政府采购合同的依据。</w:t>
      </w:r>
    </w:p>
    <w:p>
      <w:pPr>
        <w:adjustRightInd w:val="0"/>
        <w:snapToGrid w:val="0"/>
        <w:spacing w:beforeLines="50" w:line="360" w:lineRule="auto"/>
        <w:ind w:firstLine="420" w:firstLineChars="200"/>
        <w:rPr>
          <w:rFonts w:ascii="宋体" w:hAnsi="宋体" w:cs="宋体"/>
          <w:b/>
          <w:color w:val="000000"/>
          <w:kern w:val="0"/>
        </w:rPr>
      </w:pPr>
      <w:r>
        <w:rPr>
          <w:rFonts w:hint="eastAsia" w:ascii="宋体" w:hAnsi="宋体"/>
        </w:rPr>
        <w:t>27.2 成交供应商应当在成交通知书发出之日起三十日内与招标人签定政府采购合同。</w:t>
      </w:r>
    </w:p>
    <w:p>
      <w:pPr>
        <w:adjustRightInd w:val="0"/>
        <w:snapToGrid w:val="0"/>
        <w:spacing w:beforeLines="50" w:line="360" w:lineRule="auto"/>
        <w:ind w:firstLine="420" w:firstLineChars="200"/>
        <w:rPr>
          <w:rFonts w:ascii="宋体" w:hAnsi="宋体"/>
        </w:rPr>
      </w:pPr>
      <w:r>
        <w:rPr>
          <w:rFonts w:hint="eastAsia" w:ascii="宋体" w:hAnsi="宋体"/>
        </w:rPr>
        <w:t>27.3 成交供应商应当按照政府采购合同约定履行义务。成交供应商不得向他人转让成交项目，也不得将成交项目分包后分别向他人转让。</w:t>
      </w:r>
    </w:p>
    <w:p>
      <w:pPr>
        <w:adjustRightInd w:val="0"/>
        <w:snapToGrid w:val="0"/>
        <w:spacing w:beforeLines="50" w:line="360" w:lineRule="auto"/>
        <w:ind w:firstLine="420" w:firstLineChars="200"/>
        <w:rPr>
          <w:rFonts w:ascii="宋体" w:hAnsi="宋体"/>
        </w:rPr>
      </w:pPr>
      <w:r>
        <w:rPr>
          <w:rFonts w:hint="eastAsia" w:ascii="宋体" w:hAnsi="宋体"/>
        </w:rPr>
        <w:t>27.4政府采购合同履行中，招标人需追加与合同标的相同的货物服务的，在不改变合同其他条款的前提下，可以与成交供应商协商签订补充合同，但所有补充合同的采购金额不得超过原合同采购金额的百分之十。</w:t>
      </w:r>
    </w:p>
    <w:p>
      <w:pPr>
        <w:adjustRightInd w:val="0"/>
        <w:snapToGrid w:val="0"/>
        <w:spacing w:beforeLines="50" w:line="360" w:lineRule="auto"/>
        <w:rPr>
          <w:rFonts w:ascii="宋体" w:hAnsi="宋体"/>
          <w:b/>
        </w:rPr>
      </w:pPr>
      <w:r>
        <w:rPr>
          <w:rFonts w:hint="eastAsia" w:ascii="宋体" w:hAnsi="宋体"/>
          <w:b/>
        </w:rPr>
        <w:t>七、责任承担</w:t>
      </w:r>
    </w:p>
    <w:p>
      <w:pPr>
        <w:adjustRightInd w:val="0"/>
        <w:snapToGrid w:val="0"/>
        <w:spacing w:beforeLines="50" w:line="360" w:lineRule="auto"/>
        <w:ind w:firstLine="411" w:firstLineChars="196"/>
        <w:rPr>
          <w:rFonts w:ascii="宋体" w:hAnsi="宋体"/>
        </w:rPr>
      </w:pPr>
      <w:r>
        <w:rPr>
          <w:rFonts w:hint="eastAsia" w:ascii="宋体" w:hAnsi="宋体"/>
        </w:rPr>
        <w:t>28.1在政府采购活动中，供应商需承担的相应责任及违规处理，按照《政府采购法》、《采购法实施条例》、《政府采购非招标采购方式管理办法》（财政部第74号令）的规定执行。</w:t>
      </w:r>
    </w:p>
    <w:p>
      <w:pPr>
        <w:adjustRightInd w:val="0"/>
        <w:snapToGrid w:val="0"/>
        <w:spacing w:beforeLines="50" w:line="360" w:lineRule="auto"/>
        <w:jc w:val="left"/>
        <w:rPr>
          <w:rFonts w:ascii="宋体" w:hAnsi="宋体"/>
          <w:b/>
        </w:rPr>
      </w:pPr>
      <w:r>
        <w:rPr>
          <w:rFonts w:hint="eastAsia" w:ascii="宋体" w:hAnsi="宋体"/>
          <w:b/>
        </w:rPr>
        <w:t>八、其他规定</w:t>
      </w:r>
    </w:p>
    <w:p>
      <w:pPr>
        <w:tabs>
          <w:tab w:val="left" w:pos="420"/>
          <w:tab w:val="left" w:pos="7560"/>
          <w:tab w:val="left" w:pos="7740"/>
          <w:tab w:val="left" w:pos="7920"/>
        </w:tabs>
        <w:adjustRightInd w:val="0"/>
        <w:snapToGrid w:val="0"/>
        <w:spacing w:beforeLines="50" w:line="360" w:lineRule="auto"/>
        <w:ind w:firstLine="420" w:firstLineChars="200"/>
        <w:rPr>
          <w:rFonts w:ascii="宋体" w:hAnsi="宋体"/>
        </w:rPr>
      </w:pPr>
      <w:r>
        <w:rPr>
          <w:rFonts w:hint="eastAsia" w:ascii="宋体" w:hAnsi="宋体"/>
        </w:rPr>
        <w:t>29.1竞争性磋商文件的其他规定见</w:t>
      </w:r>
      <w:r>
        <w:rPr>
          <w:rFonts w:hint="eastAsia" w:ascii="宋体" w:hAnsi="宋体"/>
          <w:b/>
        </w:rPr>
        <w:t>投标供应商须知前附表</w:t>
      </w:r>
      <w:r>
        <w:rPr>
          <w:rFonts w:hint="eastAsia" w:ascii="宋体" w:hAnsi="宋体"/>
        </w:rPr>
        <w:t>。</w:t>
      </w:r>
      <w:bookmarkEnd w:id="42"/>
    </w:p>
    <w:p>
      <w:pPr>
        <w:tabs>
          <w:tab w:val="left" w:pos="420"/>
          <w:tab w:val="left" w:pos="7560"/>
          <w:tab w:val="left" w:pos="7740"/>
          <w:tab w:val="left" w:pos="7920"/>
        </w:tabs>
        <w:adjustRightInd w:val="0"/>
        <w:snapToGrid w:val="0"/>
        <w:spacing w:beforeLines="50" w:line="360" w:lineRule="auto"/>
        <w:ind w:firstLine="420" w:firstLineChars="200"/>
        <w:rPr>
          <w:rFonts w:ascii="宋体" w:hAnsi="宋体"/>
        </w:rPr>
      </w:pPr>
    </w:p>
    <w:p>
      <w:pPr>
        <w:tabs>
          <w:tab w:val="left" w:pos="420"/>
          <w:tab w:val="left" w:pos="7560"/>
          <w:tab w:val="left" w:pos="7740"/>
          <w:tab w:val="left" w:pos="7920"/>
        </w:tabs>
        <w:adjustRightInd w:val="0"/>
        <w:snapToGrid w:val="0"/>
        <w:spacing w:beforeLines="50" w:line="360" w:lineRule="auto"/>
        <w:ind w:firstLine="420" w:firstLineChars="200"/>
        <w:rPr>
          <w:rFonts w:ascii="宋体" w:hAnsi="宋体"/>
        </w:rPr>
      </w:pPr>
    </w:p>
    <w:bookmarkEnd w:id="39"/>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276" w:lineRule="auto"/>
        <w:jc w:val="center"/>
        <w:rPr>
          <w:rFonts w:ascii="宋体" w:hAnsi="宋体"/>
          <w:b/>
          <w:sz w:val="24"/>
        </w:rPr>
      </w:pPr>
      <w:r>
        <w:rPr>
          <w:rFonts w:hint="eastAsia" w:ascii="宋体" w:hAnsi="宋体"/>
          <w:b/>
          <w:sz w:val="24"/>
        </w:rPr>
        <w:t>第七章  响应文件格式</w:t>
      </w:r>
    </w:p>
    <w:p>
      <w:pPr>
        <w:spacing w:line="276" w:lineRule="auto"/>
        <w:jc w:val="center"/>
        <w:rPr>
          <w:rFonts w:ascii="宋体" w:hAnsi="宋体"/>
          <w:b/>
          <w:bCs/>
          <w:sz w:val="24"/>
        </w:rPr>
      </w:pPr>
    </w:p>
    <w:p>
      <w:pPr>
        <w:spacing w:line="276" w:lineRule="auto"/>
        <w:jc w:val="center"/>
        <w:rPr>
          <w:rFonts w:ascii="宋体" w:hAnsi="宋体"/>
          <w:b/>
          <w:bCs/>
          <w:sz w:val="24"/>
        </w:rPr>
      </w:pPr>
      <w:r>
        <w:rPr>
          <w:rFonts w:hint="eastAsia" w:ascii="宋体" w:hAnsi="宋体"/>
          <w:b/>
          <w:bCs/>
          <w:sz w:val="24"/>
        </w:rPr>
        <w:t>一、磋商申请函格式</w:t>
      </w:r>
    </w:p>
    <w:p>
      <w:pPr>
        <w:spacing w:line="276" w:lineRule="auto"/>
        <w:rPr>
          <w:rFonts w:ascii="宋体" w:hAnsi="宋体"/>
          <w:b/>
          <w:sz w:val="24"/>
          <w:highlight w:val="white"/>
          <w:u w:val="single"/>
        </w:rPr>
      </w:pPr>
      <w:r>
        <w:rPr>
          <w:rFonts w:hint="eastAsia" w:ascii="宋体" w:hAnsi="宋体"/>
          <w:b/>
          <w:sz w:val="24"/>
          <w:highlight w:val="white"/>
        </w:rPr>
        <w:t>采购人：</w:t>
      </w:r>
    </w:p>
    <w:p>
      <w:pPr>
        <w:spacing w:line="276" w:lineRule="auto"/>
        <w:rPr>
          <w:rFonts w:ascii="宋体" w:hAnsi="宋体"/>
          <w:sz w:val="24"/>
        </w:rPr>
      </w:pPr>
      <w:r>
        <w:rPr>
          <w:rFonts w:hint="eastAsia" w:ascii="宋体" w:hAnsi="宋体"/>
          <w:b/>
          <w:sz w:val="24"/>
          <w:highlight w:val="white"/>
        </w:rPr>
        <w:t>采购代理机构：</w:t>
      </w:r>
    </w:p>
    <w:p>
      <w:pPr>
        <w:numPr>
          <w:ilvl w:val="0"/>
          <w:numId w:val="6"/>
        </w:numPr>
        <w:spacing w:line="276" w:lineRule="auto"/>
        <w:ind w:firstLine="480" w:firstLineChars="200"/>
        <w:rPr>
          <w:rFonts w:ascii="宋体" w:hAnsi="宋体"/>
          <w:sz w:val="24"/>
          <w:u w:val="single"/>
        </w:rPr>
      </w:pPr>
      <w:r>
        <w:rPr>
          <w:rFonts w:ascii="宋体" w:hAnsi="宋体"/>
          <w:sz w:val="24"/>
          <w:highlight w:val="white"/>
        </w:rPr>
        <w:t>在研究了</w:t>
      </w:r>
      <w:r>
        <w:rPr>
          <w:rFonts w:ascii="宋体" w:hAnsi="宋体"/>
          <w:sz w:val="24"/>
          <w:highlight w:val="white"/>
          <w:u w:val="single"/>
        </w:rPr>
        <w:t xml:space="preserve">   项目名称及编号（如为分包项目注明包号或标段号）  </w:t>
      </w:r>
      <w:r>
        <w:rPr>
          <w:rFonts w:hint="eastAsia" w:ascii="宋体" w:hAnsi="宋体"/>
          <w:sz w:val="24"/>
          <w:highlight w:val="white"/>
        </w:rPr>
        <w:t>采购</w:t>
      </w:r>
      <w:r>
        <w:rPr>
          <w:rFonts w:ascii="宋体" w:hAnsi="宋体"/>
          <w:sz w:val="24"/>
          <w:highlight w:val="white"/>
        </w:rPr>
        <w:t>文件（含补充文件）后，我们愿意按</w:t>
      </w:r>
      <w:r>
        <w:rPr>
          <w:rFonts w:hint="eastAsia" w:ascii="宋体" w:hAnsi="宋体"/>
          <w:sz w:val="24"/>
          <w:highlight w:val="white"/>
        </w:rPr>
        <w:t>人民币</w:t>
      </w:r>
      <w:r>
        <w:rPr>
          <w:rFonts w:ascii="宋体" w:hAnsi="宋体"/>
          <w:sz w:val="24"/>
          <w:highlight w:val="white"/>
        </w:rPr>
        <w:t>（大写</w:t>
      </w:r>
      <w:r>
        <w:rPr>
          <w:rFonts w:hint="eastAsia" w:ascii="宋体" w:hAnsi="宋体"/>
          <w:color w:val="0000FF"/>
          <w:sz w:val="24"/>
          <w:highlight w:val="white"/>
          <w:u w:val="single"/>
        </w:rPr>
        <w:t>******元</w:t>
      </w:r>
      <w:r>
        <w:rPr>
          <w:rFonts w:ascii="宋体" w:hAnsi="宋体"/>
          <w:sz w:val="24"/>
          <w:highlight w:val="white"/>
        </w:rPr>
        <w:t>）（小写</w:t>
      </w:r>
      <w:r>
        <w:rPr>
          <w:rFonts w:hint="eastAsia" w:ascii="宋体" w:hAnsi="宋体"/>
          <w:color w:val="0000FF"/>
          <w:sz w:val="24"/>
          <w:highlight w:val="white"/>
          <w:u w:val="single"/>
        </w:rPr>
        <w:t>****元</w:t>
      </w:r>
      <w:r>
        <w:rPr>
          <w:rFonts w:ascii="宋体" w:hAnsi="宋体"/>
          <w:sz w:val="24"/>
          <w:highlight w:val="white"/>
        </w:rPr>
        <w:t>）</w:t>
      </w:r>
      <w:r>
        <w:rPr>
          <w:rFonts w:ascii="宋体" w:hAnsi="宋体"/>
          <w:sz w:val="24"/>
        </w:rPr>
        <w:t>的投标</w:t>
      </w:r>
      <w:r>
        <w:rPr>
          <w:rFonts w:hint="eastAsia" w:ascii="宋体" w:hAnsi="宋体"/>
          <w:sz w:val="24"/>
        </w:rPr>
        <w:t>报价</w:t>
      </w:r>
      <w:r>
        <w:rPr>
          <w:rFonts w:ascii="宋体" w:hAnsi="宋体"/>
          <w:sz w:val="24"/>
        </w:rPr>
        <w:t>，遵照</w:t>
      </w:r>
      <w:r>
        <w:rPr>
          <w:rFonts w:hint="eastAsia" w:ascii="宋体" w:hAnsi="宋体"/>
          <w:sz w:val="24"/>
        </w:rPr>
        <w:t>竞争性磋商文件</w:t>
      </w:r>
      <w:r>
        <w:rPr>
          <w:rFonts w:ascii="宋体" w:hAnsi="宋体"/>
          <w:sz w:val="24"/>
        </w:rPr>
        <w:t>（含补充文件）的要求承担本</w:t>
      </w:r>
      <w:r>
        <w:rPr>
          <w:rFonts w:hint="eastAsia" w:ascii="宋体" w:hAnsi="宋体"/>
          <w:sz w:val="24"/>
        </w:rPr>
        <w:t>采购</w:t>
      </w:r>
      <w:r>
        <w:rPr>
          <w:rFonts w:ascii="宋体" w:hAnsi="宋体"/>
          <w:sz w:val="24"/>
        </w:rPr>
        <w:t>项目的实施，完成本次</w:t>
      </w:r>
      <w:r>
        <w:rPr>
          <w:rFonts w:hint="eastAsia" w:ascii="宋体" w:hAnsi="宋体"/>
          <w:sz w:val="24"/>
        </w:rPr>
        <w:t>采购</w:t>
      </w:r>
      <w:r>
        <w:rPr>
          <w:rFonts w:ascii="宋体" w:hAnsi="宋体"/>
          <w:sz w:val="24"/>
        </w:rPr>
        <w:t>范围的全部</w:t>
      </w:r>
      <w:r>
        <w:rPr>
          <w:rFonts w:hint="eastAsia" w:ascii="宋体" w:hAnsi="宋体"/>
          <w:sz w:val="24"/>
        </w:rPr>
        <w:t>工作</w:t>
      </w:r>
      <w:r>
        <w:rPr>
          <w:rFonts w:ascii="宋体" w:hAnsi="宋体"/>
          <w:sz w:val="24"/>
        </w:rPr>
        <w:t>内容。</w:t>
      </w:r>
    </w:p>
    <w:p>
      <w:pPr>
        <w:spacing w:line="276" w:lineRule="auto"/>
        <w:rPr>
          <w:rFonts w:ascii="宋体" w:hAnsi="宋体"/>
          <w:sz w:val="24"/>
        </w:rPr>
      </w:pPr>
      <w:r>
        <w:rPr>
          <w:rFonts w:ascii="宋体" w:hAnsi="宋体"/>
          <w:sz w:val="24"/>
          <w:highlight w:val="white"/>
        </w:rPr>
        <w:t>2、如果你单位接受我们的</w:t>
      </w:r>
      <w:r>
        <w:rPr>
          <w:rFonts w:hint="eastAsia" w:ascii="宋体" w:hAnsi="宋体"/>
          <w:sz w:val="24"/>
          <w:highlight w:val="white"/>
        </w:rPr>
        <w:t>申请</w:t>
      </w:r>
      <w:r>
        <w:rPr>
          <w:rFonts w:ascii="宋体" w:hAnsi="宋体"/>
          <w:sz w:val="24"/>
          <w:highlight w:val="white"/>
        </w:rPr>
        <w:t>，</w:t>
      </w:r>
      <w:r>
        <w:rPr>
          <w:rFonts w:ascii="宋体" w:hAnsi="宋体"/>
          <w:highlight w:val="white"/>
        </w:rPr>
        <w:t>我</w:t>
      </w:r>
      <w:r>
        <w:rPr>
          <w:rFonts w:ascii="宋体" w:hAnsi="宋体"/>
          <w:sz w:val="24"/>
          <w:highlight w:val="white"/>
        </w:rPr>
        <w:t>们将保证在</w:t>
      </w:r>
      <w:r>
        <w:rPr>
          <w:rFonts w:hint="eastAsia" w:ascii="宋体" w:hAnsi="宋体"/>
          <w:color w:val="0000FF"/>
          <w:sz w:val="24"/>
          <w:highlight w:val="white"/>
          <w:u w:val="single"/>
        </w:rPr>
        <w:t>*****</w:t>
      </w:r>
      <w:r>
        <w:rPr>
          <w:rFonts w:ascii="宋体" w:hAnsi="宋体"/>
          <w:sz w:val="24"/>
          <w:highlight w:val="white"/>
        </w:rPr>
        <w:t>的</w:t>
      </w:r>
      <w:r>
        <w:rPr>
          <w:rFonts w:hint="eastAsia" w:ascii="宋体" w:hAnsi="宋体"/>
          <w:sz w:val="24"/>
          <w:highlight w:val="white"/>
        </w:rPr>
        <w:t>服务期内</w:t>
      </w:r>
      <w:r>
        <w:rPr>
          <w:rFonts w:ascii="宋体" w:hAnsi="宋体"/>
          <w:sz w:val="24"/>
          <w:highlight w:val="white"/>
        </w:rPr>
        <w:t>完成本</w:t>
      </w:r>
      <w:r>
        <w:rPr>
          <w:rFonts w:hint="eastAsia" w:ascii="宋体" w:hAnsi="宋体"/>
          <w:sz w:val="24"/>
          <w:highlight w:val="white"/>
        </w:rPr>
        <w:t>采购</w:t>
      </w:r>
      <w:r>
        <w:rPr>
          <w:rFonts w:ascii="宋体" w:hAnsi="宋体"/>
          <w:sz w:val="24"/>
          <w:highlight w:val="white"/>
        </w:rPr>
        <w:t>项目的全部工作内容，并达到</w:t>
      </w:r>
      <w:r>
        <w:rPr>
          <w:rFonts w:hint="eastAsia" w:ascii="宋体" w:hAnsi="宋体"/>
          <w:sz w:val="24"/>
          <w:highlight w:val="white"/>
        </w:rPr>
        <w:t>竞争性磋商文件</w:t>
      </w:r>
      <w:r>
        <w:rPr>
          <w:rFonts w:ascii="宋体" w:hAnsi="宋体"/>
          <w:sz w:val="24"/>
          <w:highlight w:val="white"/>
        </w:rPr>
        <w:t>规定的要求。</w:t>
      </w:r>
    </w:p>
    <w:p>
      <w:pPr>
        <w:spacing w:line="276" w:lineRule="auto"/>
        <w:ind w:firstLine="480" w:firstLineChars="200"/>
        <w:rPr>
          <w:rFonts w:ascii="宋体" w:hAnsi="宋体"/>
          <w:sz w:val="24"/>
        </w:rPr>
      </w:pPr>
      <w:r>
        <w:rPr>
          <w:rFonts w:ascii="宋体" w:hAnsi="宋体"/>
          <w:sz w:val="24"/>
          <w:highlight w:val="white"/>
        </w:rPr>
        <w:t>3、我们同意从规定的</w:t>
      </w:r>
      <w:r>
        <w:rPr>
          <w:rFonts w:hint="eastAsia" w:ascii="宋体" w:hAnsi="宋体"/>
          <w:sz w:val="24"/>
          <w:highlight w:val="white"/>
        </w:rPr>
        <w:t>首次提交响应文件</w:t>
      </w:r>
      <w:r>
        <w:rPr>
          <w:rFonts w:ascii="宋体" w:hAnsi="宋体"/>
          <w:sz w:val="24"/>
          <w:highlight w:val="white"/>
        </w:rPr>
        <w:t>之日起56个日历天的</w:t>
      </w:r>
      <w:r>
        <w:rPr>
          <w:rFonts w:hint="eastAsia" w:ascii="宋体" w:hAnsi="宋体"/>
          <w:sz w:val="24"/>
          <w:highlight w:val="white"/>
        </w:rPr>
        <w:t>磋商</w:t>
      </w:r>
      <w:r>
        <w:rPr>
          <w:rFonts w:ascii="宋体" w:hAnsi="宋体"/>
          <w:sz w:val="24"/>
          <w:highlight w:val="white"/>
        </w:rPr>
        <w:t>有效期内严格遵守</w:t>
      </w:r>
      <w:r>
        <w:rPr>
          <w:rFonts w:hint="eastAsia" w:ascii="宋体" w:hAnsi="宋体"/>
          <w:sz w:val="24"/>
          <w:highlight w:val="white"/>
        </w:rPr>
        <w:t>竞争性磋商文件</w:t>
      </w:r>
      <w:r>
        <w:rPr>
          <w:rFonts w:ascii="宋体" w:hAnsi="宋体"/>
          <w:sz w:val="24"/>
          <w:highlight w:val="white"/>
        </w:rPr>
        <w:t>的各项承诺。在此期限届满之前，本</w:t>
      </w:r>
      <w:r>
        <w:rPr>
          <w:rFonts w:hint="eastAsia" w:ascii="宋体" w:hAnsi="宋体"/>
          <w:sz w:val="24"/>
          <w:highlight w:val="white"/>
        </w:rPr>
        <w:t>申请</w:t>
      </w:r>
      <w:r>
        <w:rPr>
          <w:rFonts w:ascii="宋体" w:hAnsi="宋体"/>
          <w:sz w:val="24"/>
          <w:highlight w:val="white"/>
        </w:rPr>
        <w:t>书始终将对我方具有约束力，并随时接受</w:t>
      </w:r>
      <w:r>
        <w:rPr>
          <w:rFonts w:hint="eastAsia" w:ascii="宋体" w:hAnsi="宋体"/>
          <w:sz w:val="24"/>
          <w:highlight w:val="white"/>
        </w:rPr>
        <w:t>成交</w:t>
      </w:r>
      <w:r>
        <w:rPr>
          <w:rFonts w:ascii="宋体" w:hAnsi="宋体"/>
          <w:sz w:val="24"/>
          <w:highlight w:val="white"/>
        </w:rPr>
        <w:t>。</w:t>
      </w:r>
    </w:p>
    <w:p>
      <w:pPr>
        <w:spacing w:line="276" w:lineRule="auto"/>
        <w:ind w:firstLine="480" w:firstLineChars="200"/>
        <w:rPr>
          <w:rFonts w:ascii="宋体" w:hAnsi="宋体"/>
          <w:color w:val="000000"/>
          <w:sz w:val="24"/>
          <w:highlight w:val="white"/>
        </w:rPr>
      </w:pPr>
      <w:r>
        <w:rPr>
          <w:rFonts w:ascii="宋体" w:hAnsi="宋体"/>
          <w:sz w:val="24"/>
          <w:highlight w:val="white"/>
        </w:rPr>
        <w:t>4、在合同书正</w:t>
      </w:r>
      <w:r>
        <w:rPr>
          <w:rFonts w:ascii="宋体" w:hAnsi="宋体"/>
          <w:color w:val="000000"/>
          <w:sz w:val="24"/>
          <w:highlight w:val="white"/>
        </w:rPr>
        <w:t>式签署生效之前，本</w:t>
      </w:r>
      <w:r>
        <w:rPr>
          <w:rFonts w:hint="eastAsia" w:ascii="宋体" w:hAnsi="宋体"/>
          <w:color w:val="000000"/>
          <w:sz w:val="24"/>
          <w:highlight w:val="white"/>
        </w:rPr>
        <w:t>申请</w:t>
      </w:r>
      <w:r>
        <w:rPr>
          <w:rFonts w:ascii="宋体" w:hAnsi="宋体"/>
          <w:color w:val="000000"/>
          <w:sz w:val="24"/>
          <w:highlight w:val="white"/>
        </w:rPr>
        <w:t>书连同</w:t>
      </w:r>
      <w:r>
        <w:rPr>
          <w:rFonts w:hint="eastAsia" w:ascii="宋体" w:hAnsi="宋体"/>
          <w:color w:val="000000"/>
          <w:sz w:val="24"/>
          <w:highlight w:val="white"/>
        </w:rPr>
        <w:t>贵单位签发</w:t>
      </w:r>
      <w:r>
        <w:rPr>
          <w:rFonts w:ascii="宋体" w:hAnsi="宋体"/>
          <w:color w:val="000000"/>
          <w:sz w:val="24"/>
          <w:highlight w:val="white"/>
        </w:rPr>
        <w:t>的</w:t>
      </w:r>
      <w:r>
        <w:rPr>
          <w:rFonts w:hint="eastAsia" w:ascii="宋体" w:hAnsi="宋体"/>
          <w:color w:val="000000"/>
          <w:sz w:val="24"/>
          <w:highlight w:val="white"/>
        </w:rPr>
        <w:t>中标通知书</w:t>
      </w:r>
      <w:r>
        <w:rPr>
          <w:rFonts w:ascii="宋体" w:hAnsi="宋体"/>
          <w:color w:val="000000"/>
          <w:sz w:val="24"/>
          <w:highlight w:val="white"/>
        </w:rPr>
        <w:t>将构成我们双方之间共同遵守的文件，对双方具有约束力。</w:t>
      </w:r>
    </w:p>
    <w:p>
      <w:pPr>
        <w:spacing w:line="276" w:lineRule="auto"/>
        <w:ind w:firstLine="480" w:firstLineChars="200"/>
        <w:rPr>
          <w:rFonts w:ascii="宋体" w:hAnsi="宋体"/>
          <w:color w:val="000000"/>
          <w:sz w:val="24"/>
          <w:highlight w:val="white"/>
        </w:rPr>
      </w:pPr>
      <w:r>
        <w:rPr>
          <w:rFonts w:ascii="宋体" w:hAnsi="宋体"/>
          <w:color w:val="000000"/>
          <w:sz w:val="24"/>
          <w:highlight w:val="white"/>
        </w:rPr>
        <w:t>5、我们理解你单位不负担我们的任何</w:t>
      </w:r>
      <w:r>
        <w:rPr>
          <w:rFonts w:hint="eastAsia" w:ascii="宋体" w:hAnsi="宋体"/>
          <w:color w:val="000000"/>
          <w:sz w:val="24"/>
          <w:highlight w:val="white"/>
        </w:rPr>
        <w:t>磋商</w:t>
      </w:r>
      <w:r>
        <w:rPr>
          <w:rFonts w:ascii="宋体" w:hAnsi="宋体"/>
          <w:color w:val="000000"/>
          <w:sz w:val="24"/>
          <w:highlight w:val="white"/>
        </w:rPr>
        <w:t>费用。</w:t>
      </w:r>
    </w:p>
    <w:p>
      <w:pPr>
        <w:spacing w:line="276" w:lineRule="auto"/>
        <w:ind w:firstLine="480" w:firstLineChars="200"/>
        <w:rPr>
          <w:rFonts w:ascii="宋体" w:hAnsi="宋体"/>
          <w:sz w:val="24"/>
        </w:rPr>
      </w:pPr>
      <w:r>
        <w:rPr>
          <w:rFonts w:ascii="宋体" w:hAnsi="宋体"/>
          <w:color w:val="000000"/>
          <w:sz w:val="24"/>
          <w:highlight w:val="white"/>
        </w:rPr>
        <w:t>6、根据</w:t>
      </w:r>
      <w:r>
        <w:rPr>
          <w:rFonts w:hint="eastAsia" w:ascii="宋体" w:hAnsi="宋体"/>
          <w:color w:val="000000"/>
          <w:sz w:val="24"/>
          <w:highlight w:val="white"/>
        </w:rPr>
        <w:t>竞争性磋商</w:t>
      </w:r>
      <w:r>
        <w:rPr>
          <w:rFonts w:ascii="宋体" w:hAnsi="宋体"/>
          <w:color w:val="000000"/>
          <w:sz w:val="24"/>
          <w:highlight w:val="white"/>
        </w:rPr>
        <w:t>须知第3</w:t>
      </w:r>
      <w:r>
        <w:rPr>
          <w:rFonts w:ascii="宋体" w:hAnsi="宋体"/>
          <w:sz w:val="24"/>
          <w:highlight w:val="white"/>
        </w:rPr>
        <w:t>条规定，我方承诺，与对本次</w:t>
      </w:r>
      <w:r>
        <w:rPr>
          <w:rFonts w:hint="eastAsia" w:ascii="宋体" w:hAnsi="宋体"/>
          <w:sz w:val="24"/>
          <w:highlight w:val="white"/>
        </w:rPr>
        <w:t>磋商项目</w:t>
      </w:r>
      <w:r>
        <w:rPr>
          <w:rFonts w:ascii="宋体" w:hAnsi="宋体"/>
          <w:sz w:val="24"/>
          <w:highlight w:val="white"/>
        </w:rPr>
        <w:t>进行设计、编制规范和其他文件的单位或其附属机构均无关联。我方不是</w:t>
      </w:r>
      <w:r>
        <w:rPr>
          <w:rFonts w:hint="eastAsia" w:ascii="宋体" w:hAnsi="宋体"/>
          <w:sz w:val="24"/>
          <w:highlight w:val="white"/>
        </w:rPr>
        <w:t>采购方</w:t>
      </w:r>
      <w:r>
        <w:rPr>
          <w:rFonts w:ascii="宋体" w:hAnsi="宋体"/>
          <w:sz w:val="24"/>
          <w:highlight w:val="white"/>
        </w:rPr>
        <w:t>的附属机构。</w:t>
      </w:r>
    </w:p>
    <w:p>
      <w:pPr>
        <w:spacing w:line="276" w:lineRule="auto"/>
        <w:ind w:firstLine="480" w:firstLineChars="200"/>
        <w:rPr>
          <w:rFonts w:ascii="宋体" w:hAnsi="宋体"/>
          <w:color w:val="000000"/>
          <w:sz w:val="24"/>
        </w:rPr>
      </w:pPr>
      <w:r>
        <w:rPr>
          <w:rFonts w:ascii="宋体" w:hAnsi="宋体"/>
          <w:sz w:val="24"/>
          <w:highlight w:val="white"/>
        </w:rPr>
        <w:t>7、</w:t>
      </w:r>
      <w:r>
        <w:rPr>
          <w:rFonts w:ascii="宋体" w:hAnsi="宋体"/>
          <w:color w:val="000000"/>
          <w:sz w:val="24"/>
          <w:highlight w:val="white"/>
        </w:rPr>
        <w:t>我们完全接受</w:t>
      </w:r>
      <w:r>
        <w:rPr>
          <w:rFonts w:hint="eastAsia" w:ascii="宋体" w:hAnsi="宋体"/>
          <w:color w:val="000000"/>
          <w:sz w:val="24"/>
          <w:highlight w:val="white"/>
        </w:rPr>
        <w:t>磋商</w:t>
      </w:r>
      <w:r>
        <w:rPr>
          <w:rFonts w:ascii="宋体" w:hAnsi="宋体"/>
          <w:color w:val="000000"/>
          <w:sz w:val="24"/>
          <w:highlight w:val="white"/>
        </w:rPr>
        <w:t>标文件的规定。如有违反，你单位有权撤消我单位</w:t>
      </w:r>
      <w:r>
        <w:rPr>
          <w:rFonts w:hint="eastAsia" w:ascii="宋体" w:hAnsi="宋体"/>
          <w:color w:val="000000"/>
          <w:sz w:val="24"/>
          <w:highlight w:val="white"/>
        </w:rPr>
        <w:t>成交</w:t>
      </w:r>
      <w:r>
        <w:rPr>
          <w:rFonts w:ascii="宋体" w:hAnsi="宋体"/>
          <w:color w:val="000000"/>
          <w:sz w:val="24"/>
          <w:highlight w:val="white"/>
        </w:rPr>
        <w:t>资格，另选</w:t>
      </w:r>
      <w:r>
        <w:rPr>
          <w:rFonts w:hint="eastAsia" w:ascii="宋体" w:hAnsi="宋体"/>
          <w:color w:val="000000"/>
          <w:sz w:val="24"/>
          <w:highlight w:val="white"/>
        </w:rPr>
        <w:t>成交</w:t>
      </w:r>
      <w:r>
        <w:rPr>
          <w:rFonts w:ascii="宋体" w:hAnsi="宋体"/>
          <w:color w:val="000000"/>
          <w:sz w:val="24"/>
          <w:highlight w:val="white"/>
        </w:rPr>
        <w:t>单位。</w:t>
      </w:r>
    </w:p>
    <w:p>
      <w:pPr>
        <w:adjustRightInd w:val="0"/>
        <w:snapToGrid w:val="0"/>
        <w:spacing w:line="360" w:lineRule="auto"/>
        <w:rPr>
          <w:rFonts w:ascii="宋体" w:hAnsi="宋体"/>
        </w:rPr>
      </w:pPr>
      <w:bookmarkStart w:id="43" w:name="_Hlk38271642"/>
      <w:r>
        <w:rPr>
          <w:rFonts w:ascii="宋体" w:hAnsi="宋体"/>
          <w:highlight w:val="white"/>
        </w:rPr>
        <w:t>投标供应商：</w:t>
      </w:r>
      <w:r>
        <w:rPr>
          <w:rFonts w:hint="eastAsia" w:ascii="宋体" w:hAnsi="宋体"/>
          <w:highlight w:val="yellow"/>
        </w:rPr>
        <w:t>(盖单位</w:t>
      </w:r>
      <w:r>
        <w:rPr>
          <w:rFonts w:hint="eastAsia" w:ascii="宋体" w:hAnsi="宋体"/>
          <w:highlight w:val="yellow"/>
          <w:lang w:val="en-US" w:eastAsia="zh-CN"/>
        </w:rPr>
        <w:t>公章</w:t>
      </w:r>
      <w:r>
        <w:rPr>
          <w:rFonts w:hint="eastAsia" w:ascii="宋体" w:hAnsi="宋体"/>
          <w:highlight w:val="yellow"/>
        </w:rPr>
        <w:t>)</w:t>
      </w:r>
    </w:p>
    <w:p>
      <w:pPr>
        <w:spacing w:line="360" w:lineRule="auto"/>
        <w:rPr>
          <w:rFonts w:ascii="宋体" w:hAnsi="宋体"/>
        </w:rPr>
      </w:pPr>
      <w:r>
        <w:rPr>
          <w:rFonts w:ascii="宋体" w:hAnsi="宋体"/>
          <w:highlight w:val="white"/>
        </w:rPr>
        <w:t>单位地址及邮政编码：</w:t>
      </w:r>
    </w:p>
    <w:p>
      <w:pPr>
        <w:adjustRightInd w:val="0"/>
        <w:snapToGrid w:val="0"/>
        <w:spacing w:line="360" w:lineRule="auto"/>
        <w:rPr>
          <w:rFonts w:ascii="宋体" w:hAnsi="宋体"/>
        </w:rPr>
      </w:pPr>
      <w:r>
        <w:rPr>
          <w:rFonts w:hint="eastAsia" w:ascii="宋体" w:hAnsi="宋体"/>
        </w:rPr>
        <w:t>法人代表</w:t>
      </w:r>
      <w:r>
        <w:rPr>
          <w:rFonts w:hint="eastAsia" w:ascii="宋体" w:hAnsi="宋体"/>
          <w:highlight w:val="yellow"/>
        </w:rPr>
        <w:t>（</w:t>
      </w:r>
      <w:r>
        <w:rPr>
          <w:rFonts w:hint="eastAsia" w:ascii="宋体" w:hAnsi="宋体"/>
          <w:highlight w:val="yellow"/>
          <w:lang w:val="en-US" w:eastAsia="zh-CN"/>
        </w:rPr>
        <w:t>签字或盖章</w:t>
      </w:r>
      <w:r>
        <w:rPr>
          <w:rFonts w:hint="eastAsia" w:ascii="宋体" w:hAnsi="宋体"/>
          <w:highlight w:val="yellow"/>
        </w:rPr>
        <w:t>）</w:t>
      </w:r>
      <w:r>
        <w:rPr>
          <w:rFonts w:hint="eastAsia" w:ascii="宋体" w:hAnsi="宋体"/>
        </w:rPr>
        <w:t>：</w:t>
      </w:r>
    </w:p>
    <w:p>
      <w:pPr>
        <w:adjustRightInd w:val="0"/>
        <w:snapToGrid w:val="0"/>
        <w:spacing w:line="360" w:lineRule="auto"/>
        <w:rPr>
          <w:rFonts w:ascii="宋体" w:hAnsi="宋体"/>
        </w:rPr>
      </w:pPr>
      <w:r>
        <w:rPr>
          <w:rFonts w:ascii="宋体" w:hAnsi="宋体"/>
          <w:highlight w:val="white"/>
        </w:rPr>
        <w:t xml:space="preserve">联系电话（传真）：  </w:t>
      </w:r>
    </w:p>
    <w:p>
      <w:pPr>
        <w:adjustRightInd w:val="0"/>
        <w:snapToGrid w:val="0"/>
        <w:spacing w:line="360" w:lineRule="auto"/>
        <w:rPr>
          <w:rFonts w:ascii="宋体" w:hAnsi="宋体"/>
        </w:rPr>
      </w:pPr>
      <w:r>
        <w:rPr>
          <w:rFonts w:ascii="宋体" w:hAnsi="宋体"/>
          <w:highlight w:val="white"/>
        </w:rPr>
        <w:t xml:space="preserve">开户银行名称：                      </w:t>
      </w:r>
    </w:p>
    <w:p>
      <w:pPr>
        <w:adjustRightInd w:val="0"/>
        <w:snapToGrid w:val="0"/>
        <w:spacing w:line="360" w:lineRule="auto"/>
        <w:rPr>
          <w:rFonts w:ascii="宋体" w:hAnsi="宋体"/>
        </w:rPr>
      </w:pPr>
      <w:r>
        <w:rPr>
          <w:rFonts w:hint="eastAsia" w:ascii="宋体" w:hAnsi="宋体"/>
          <w:highlight w:val="white"/>
        </w:rPr>
        <w:t xml:space="preserve">开户银行账号（基本账户）： </w:t>
      </w:r>
    </w:p>
    <w:p>
      <w:pPr>
        <w:adjustRightInd w:val="0"/>
        <w:snapToGrid w:val="0"/>
        <w:spacing w:line="360" w:lineRule="auto"/>
        <w:rPr>
          <w:rFonts w:ascii="宋体" w:hAnsi="宋体"/>
        </w:rPr>
      </w:pPr>
      <w:r>
        <w:rPr>
          <w:rFonts w:ascii="宋体" w:hAnsi="宋体"/>
          <w:highlight w:val="white"/>
        </w:rPr>
        <w:t>开户银行地址：</w:t>
      </w:r>
    </w:p>
    <w:p>
      <w:pPr>
        <w:adjustRightInd w:val="0"/>
        <w:snapToGrid w:val="0"/>
        <w:spacing w:line="360" w:lineRule="auto"/>
        <w:rPr>
          <w:rFonts w:ascii="宋体" w:hAnsi="宋体"/>
        </w:rPr>
      </w:pPr>
      <w:r>
        <w:rPr>
          <w:rFonts w:ascii="宋体" w:hAnsi="宋体"/>
          <w:highlight w:val="white"/>
        </w:rPr>
        <w:t>开户银行电话：</w:t>
      </w:r>
    </w:p>
    <w:bookmarkEnd w:id="43"/>
    <w:p>
      <w:pPr>
        <w:adjustRightInd w:val="0"/>
        <w:snapToGrid w:val="0"/>
        <w:spacing w:line="360" w:lineRule="auto"/>
        <w:jc w:val="right"/>
        <w:rPr>
          <w:rFonts w:ascii="宋体" w:hAnsi="宋体"/>
        </w:rPr>
      </w:pPr>
      <w:r>
        <w:rPr>
          <w:rFonts w:ascii="宋体" w:hAnsi="宋体"/>
          <w:highlight w:val="white"/>
        </w:rPr>
        <w:t xml:space="preserve">                                                          年    月    日</w:t>
      </w: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p>
    <w:p>
      <w:pPr>
        <w:pStyle w:val="13"/>
        <w:adjustRightInd w:val="0"/>
        <w:snapToGrid w:val="0"/>
        <w:spacing w:line="276" w:lineRule="auto"/>
        <w:jc w:val="center"/>
        <w:rPr>
          <w:rFonts w:hAnsi="宋体"/>
          <w:b/>
          <w:bCs/>
          <w:sz w:val="24"/>
          <w:szCs w:val="24"/>
        </w:rPr>
      </w:pPr>
      <w:r>
        <w:rPr>
          <w:rFonts w:hint="eastAsia" w:hAnsi="宋体"/>
          <w:b/>
          <w:bCs/>
          <w:sz w:val="24"/>
          <w:szCs w:val="24"/>
        </w:rPr>
        <w:t>二、授权委托书</w:t>
      </w:r>
    </w:p>
    <w:p>
      <w:pPr>
        <w:spacing w:line="276" w:lineRule="auto"/>
        <w:ind w:firstLine="480" w:firstLineChars="200"/>
        <w:rPr>
          <w:rFonts w:ascii="宋体" w:hAnsi="宋体" w:cs="宋体"/>
          <w:color w:val="000000"/>
          <w:sz w:val="24"/>
        </w:rPr>
      </w:pPr>
    </w:p>
    <w:p>
      <w:pPr>
        <w:spacing w:line="276" w:lineRule="auto"/>
        <w:ind w:firstLine="480" w:firstLineChars="200"/>
        <w:rPr>
          <w:rFonts w:ascii="宋体" w:hAnsi="宋体" w:cs="宋体"/>
          <w:color w:val="000000"/>
          <w:sz w:val="24"/>
        </w:rPr>
      </w:pPr>
      <w:r>
        <w:rPr>
          <w:rFonts w:hint="eastAsia" w:ascii="宋体" w:hAnsi="宋体" w:cs="宋体"/>
          <w:color w:val="000000"/>
          <w:sz w:val="24"/>
        </w:rPr>
        <w:t>本授权委托书声明：我 (姓名)系 (供应商名称)的法定代表人（或经营者），现授权委托 （单位名称）的 (姓名)为我公司代理人，参加 (采购人)的 项目的磋商活动。授权委托人在参加磋商过程中所签署的一切文件和处理与之有关的一切事务，我均予以承认。</w:t>
      </w:r>
    </w:p>
    <w:p>
      <w:pPr>
        <w:spacing w:line="276" w:lineRule="auto"/>
        <w:ind w:firstLine="480" w:firstLineChars="200"/>
        <w:rPr>
          <w:rFonts w:ascii="宋体" w:hAnsi="宋体" w:cs="宋体"/>
          <w:color w:val="000000"/>
          <w:sz w:val="24"/>
        </w:rPr>
      </w:pPr>
      <w:r>
        <w:rPr>
          <w:rFonts w:hint="eastAsia" w:ascii="宋体" w:hAnsi="宋体" w:cs="宋体"/>
          <w:color w:val="000000"/>
          <w:sz w:val="24"/>
        </w:rPr>
        <w:t>授权委托人无转委托权。特此委托。</w:t>
      </w:r>
      <w:r>
        <w:rPr>
          <w:rFonts w:hint="eastAsia" w:ascii="宋体" w:hAnsi="宋体" w:cs="宋体"/>
          <w:color w:val="000000"/>
          <w:sz w:val="24"/>
        </w:rPr>
        <w:cr/>
      </w:r>
    </w:p>
    <w:p>
      <w:pPr>
        <w:widowControl/>
        <w:spacing w:line="360" w:lineRule="auto"/>
        <w:ind w:left="210" w:leftChars="100" w:firstLine="460" w:firstLineChars="200"/>
        <w:jc w:val="left"/>
        <w:rPr>
          <w:rFonts w:eastAsia="微软雅黑"/>
          <w:kern w:val="0"/>
          <w:highlight w:val="yellow"/>
        </w:rPr>
      </w:pPr>
      <w:bookmarkStart w:id="44" w:name="_Hlk38271653"/>
      <w:r>
        <w:rPr>
          <w:rFonts w:hint="eastAsia" w:ascii="宋体" w:hAnsi="宋体"/>
          <w:kern w:val="0"/>
          <w:sz w:val="23"/>
          <w:szCs w:val="23"/>
          <w:highlight w:val="white"/>
        </w:rPr>
        <w:t>代理人：</w:t>
      </w:r>
      <w:r>
        <w:rPr>
          <w:rFonts w:hint="eastAsia" w:ascii="微软雅黑" w:hAnsi="微软雅黑" w:eastAsia="微软雅黑"/>
          <w:kern w:val="0"/>
          <w:sz w:val="23"/>
          <w:szCs w:val="23"/>
          <w:highlight w:val="white"/>
          <w:u w:val="single"/>
        </w:rPr>
        <w:t>              </w:t>
      </w:r>
      <w:r>
        <w:rPr>
          <w:rFonts w:hint="eastAsia" w:ascii="宋体" w:hAnsi="宋体"/>
          <w:kern w:val="0"/>
          <w:sz w:val="23"/>
          <w:szCs w:val="23"/>
          <w:highlight w:val="yellow"/>
        </w:rPr>
        <w:t>（</w:t>
      </w:r>
      <w:r>
        <w:rPr>
          <w:rFonts w:hint="eastAsia" w:ascii="宋体" w:hAnsi="宋体"/>
          <w:highlight w:val="yellow"/>
          <w:lang w:val="en-US" w:eastAsia="zh-CN"/>
        </w:rPr>
        <w:t>签字或盖章</w:t>
      </w:r>
      <w:r>
        <w:rPr>
          <w:rFonts w:hint="eastAsia" w:ascii="宋体" w:hAnsi="宋体"/>
          <w:kern w:val="0"/>
          <w:sz w:val="23"/>
          <w:szCs w:val="23"/>
          <w:highlight w:val="yellow"/>
        </w:rPr>
        <w:t>）</w:t>
      </w:r>
    </w:p>
    <w:p>
      <w:pPr>
        <w:widowControl/>
        <w:spacing w:line="360" w:lineRule="auto"/>
        <w:ind w:firstLine="690" w:firstLineChars="300"/>
        <w:jc w:val="left"/>
        <w:rPr>
          <w:rFonts w:eastAsia="微软雅黑"/>
          <w:kern w:val="0"/>
        </w:rPr>
      </w:pPr>
      <w:r>
        <w:rPr>
          <w:rFonts w:hint="eastAsia" w:ascii="宋体" w:hAnsi="宋体"/>
          <w:kern w:val="0"/>
          <w:sz w:val="23"/>
          <w:szCs w:val="23"/>
          <w:highlight w:val="white"/>
        </w:rPr>
        <w:t>代理人身份证号码：</w:t>
      </w:r>
      <w:r>
        <w:rPr>
          <w:rFonts w:hint="eastAsia" w:ascii="微软雅黑" w:hAnsi="微软雅黑" w:eastAsia="微软雅黑"/>
          <w:kern w:val="0"/>
          <w:sz w:val="23"/>
          <w:szCs w:val="23"/>
          <w:highlight w:val="white"/>
          <w:u w:val="single"/>
        </w:rPr>
        <w:t>                 </w:t>
      </w:r>
      <w:r>
        <w:rPr>
          <w:rFonts w:hint="eastAsia" w:ascii="微软雅黑" w:hAnsi="微软雅黑" w:eastAsia="微软雅黑"/>
          <w:kern w:val="0"/>
          <w:sz w:val="23"/>
          <w:szCs w:val="23"/>
          <w:highlight w:val="white"/>
        </w:rPr>
        <w:t> </w:t>
      </w:r>
      <w:r>
        <w:rPr>
          <w:rFonts w:hint="eastAsia" w:ascii="宋体" w:hAnsi="宋体"/>
          <w:kern w:val="0"/>
          <w:sz w:val="23"/>
          <w:szCs w:val="23"/>
          <w:highlight w:val="yellow"/>
        </w:rPr>
        <w:t>（须提供身份证正反两面复印件）</w:t>
      </w:r>
    </w:p>
    <w:p>
      <w:pPr>
        <w:widowControl/>
        <w:spacing w:line="360" w:lineRule="auto"/>
        <w:ind w:firstLine="420"/>
        <w:jc w:val="left"/>
        <w:rPr>
          <w:rFonts w:eastAsia="微软雅黑"/>
          <w:kern w:val="0"/>
        </w:rPr>
      </w:pPr>
      <w:r>
        <w:rPr>
          <w:rFonts w:hint="eastAsia" w:ascii="微软雅黑" w:hAnsi="微软雅黑" w:eastAsia="微软雅黑"/>
          <w:kern w:val="0"/>
          <w:sz w:val="23"/>
          <w:szCs w:val="23"/>
          <w:highlight w:val="white"/>
        </w:rPr>
        <w:t>  </w:t>
      </w:r>
      <w:r>
        <w:rPr>
          <w:rFonts w:hint="eastAsia" w:ascii="宋体" w:hAnsi="宋体"/>
          <w:kern w:val="0"/>
          <w:sz w:val="23"/>
          <w:szCs w:val="23"/>
          <w:highlight w:val="white"/>
        </w:rPr>
        <w:t>性别</w:t>
      </w:r>
      <w:r>
        <w:rPr>
          <w:rFonts w:hint="eastAsia" w:ascii="微软雅黑" w:hAnsi="微软雅黑" w:eastAsia="微软雅黑"/>
          <w:kern w:val="0"/>
          <w:sz w:val="23"/>
          <w:szCs w:val="23"/>
          <w:highlight w:val="white"/>
        </w:rPr>
        <w:t xml:space="preserve">: </w:t>
      </w:r>
      <w:r>
        <w:rPr>
          <w:rFonts w:hint="eastAsia" w:ascii="微软雅黑" w:hAnsi="微软雅黑" w:eastAsia="微软雅黑"/>
          <w:kern w:val="0"/>
          <w:sz w:val="23"/>
          <w:szCs w:val="23"/>
          <w:highlight w:val="white"/>
          <w:u w:val="single"/>
        </w:rPr>
        <w:t>              </w:t>
      </w:r>
      <w:r>
        <w:rPr>
          <w:rFonts w:hint="eastAsia" w:ascii="宋体" w:hAnsi="宋体"/>
          <w:kern w:val="0"/>
          <w:sz w:val="23"/>
          <w:szCs w:val="23"/>
          <w:highlight w:val="white"/>
        </w:rPr>
        <w:t>年龄：</w:t>
      </w:r>
      <w:r>
        <w:rPr>
          <w:rFonts w:hint="eastAsia" w:ascii="微软雅黑" w:hAnsi="微软雅黑" w:eastAsia="微软雅黑"/>
          <w:kern w:val="0"/>
          <w:sz w:val="23"/>
          <w:szCs w:val="23"/>
          <w:highlight w:val="white"/>
          <w:u w:val="single"/>
        </w:rPr>
        <w:t xml:space="preserve">              </w:t>
      </w:r>
    </w:p>
    <w:p>
      <w:pPr>
        <w:widowControl/>
        <w:spacing w:line="360" w:lineRule="auto"/>
        <w:ind w:firstLine="690" w:firstLineChars="300"/>
        <w:jc w:val="left"/>
        <w:rPr>
          <w:rFonts w:ascii="宋体" w:hAnsi="宋体"/>
          <w:kern w:val="0"/>
          <w:sz w:val="23"/>
          <w:szCs w:val="23"/>
          <w:highlight w:val="yellow"/>
        </w:rPr>
      </w:pPr>
      <w:r>
        <w:rPr>
          <w:rFonts w:hint="eastAsia" w:ascii="宋体" w:hAnsi="宋体"/>
          <w:kern w:val="0"/>
          <w:sz w:val="23"/>
          <w:szCs w:val="23"/>
          <w:highlight w:val="white"/>
        </w:rPr>
        <w:t>投标供应商：</w:t>
      </w:r>
      <w:r>
        <w:rPr>
          <w:rFonts w:hint="eastAsia" w:ascii="宋体" w:hAnsi="宋体"/>
          <w:kern w:val="0"/>
          <w:sz w:val="23"/>
          <w:szCs w:val="23"/>
          <w:highlight w:val="white"/>
          <w:u w:val="single"/>
        </w:rPr>
        <w:t>              </w:t>
      </w:r>
      <w:r>
        <w:rPr>
          <w:rFonts w:ascii="宋体" w:hAnsi="宋体"/>
          <w:kern w:val="0"/>
          <w:sz w:val="23"/>
          <w:szCs w:val="23"/>
          <w:highlight w:val="yellow"/>
        </w:rPr>
        <w:t>(</w:t>
      </w:r>
      <w:r>
        <w:rPr>
          <w:rFonts w:hint="eastAsia" w:ascii="宋体" w:hAnsi="宋体"/>
          <w:kern w:val="0"/>
          <w:sz w:val="23"/>
          <w:szCs w:val="23"/>
          <w:highlight w:val="yellow"/>
        </w:rPr>
        <w:t>盖单位</w:t>
      </w:r>
      <w:r>
        <w:rPr>
          <w:rFonts w:hint="eastAsia" w:ascii="宋体" w:hAnsi="宋体"/>
          <w:kern w:val="0"/>
          <w:sz w:val="23"/>
          <w:szCs w:val="23"/>
          <w:highlight w:val="yellow"/>
          <w:lang w:val="en-US" w:eastAsia="zh-CN"/>
        </w:rPr>
        <w:t>公章</w:t>
      </w:r>
      <w:r>
        <w:rPr>
          <w:rFonts w:ascii="宋体" w:hAnsi="宋体"/>
          <w:kern w:val="0"/>
          <w:sz w:val="23"/>
          <w:szCs w:val="23"/>
          <w:highlight w:val="yellow"/>
        </w:rPr>
        <w:t>)</w:t>
      </w:r>
    </w:p>
    <w:p>
      <w:pPr>
        <w:widowControl/>
        <w:spacing w:line="360" w:lineRule="auto"/>
        <w:ind w:firstLine="690" w:firstLineChars="300"/>
        <w:jc w:val="left"/>
        <w:rPr>
          <w:rFonts w:ascii="宋体" w:hAnsi="宋体"/>
          <w:kern w:val="0"/>
          <w:sz w:val="23"/>
          <w:szCs w:val="23"/>
        </w:rPr>
      </w:pPr>
      <w:r>
        <w:rPr>
          <w:rFonts w:hint="eastAsia" w:ascii="宋体" w:hAnsi="宋体"/>
          <w:kern w:val="0"/>
          <w:sz w:val="23"/>
          <w:szCs w:val="23"/>
        </w:rPr>
        <w:t>法人代表：</w:t>
      </w:r>
      <w:r>
        <w:rPr>
          <w:rFonts w:hint="eastAsia" w:ascii="宋体" w:hAnsi="宋体"/>
          <w:kern w:val="0"/>
          <w:sz w:val="23"/>
          <w:szCs w:val="23"/>
          <w:highlight w:val="white"/>
          <w:u w:val="single"/>
        </w:rPr>
        <w:t>     </w:t>
      </w:r>
      <w:r>
        <w:rPr>
          <w:rFonts w:hint="eastAsia" w:ascii="宋体" w:hAnsi="宋体"/>
          <w:kern w:val="0"/>
          <w:sz w:val="23"/>
          <w:szCs w:val="23"/>
          <w:highlight w:val="yellow"/>
        </w:rPr>
        <w:t>（</w:t>
      </w:r>
      <w:r>
        <w:rPr>
          <w:rFonts w:hint="eastAsia" w:ascii="宋体" w:hAnsi="宋体"/>
          <w:highlight w:val="yellow"/>
          <w:lang w:val="en-US" w:eastAsia="zh-CN"/>
        </w:rPr>
        <w:t>签字或盖章</w:t>
      </w:r>
      <w:r>
        <w:rPr>
          <w:rFonts w:hint="eastAsia" w:ascii="宋体" w:hAnsi="宋体"/>
          <w:kern w:val="0"/>
          <w:sz w:val="23"/>
          <w:szCs w:val="23"/>
          <w:highlight w:val="yellow"/>
        </w:rPr>
        <w:t>）</w:t>
      </w:r>
    </w:p>
    <w:p>
      <w:pPr>
        <w:widowControl/>
        <w:spacing w:line="360" w:lineRule="auto"/>
        <w:ind w:firstLine="690" w:firstLineChars="300"/>
        <w:jc w:val="left"/>
        <w:rPr>
          <w:rFonts w:eastAsia="微软雅黑"/>
          <w:kern w:val="0"/>
        </w:rPr>
      </w:pPr>
      <w:r>
        <w:rPr>
          <w:rFonts w:hint="eastAsia" w:ascii="宋体" w:hAnsi="宋体"/>
          <w:kern w:val="0"/>
          <w:sz w:val="23"/>
          <w:szCs w:val="23"/>
          <w:highlight w:val="white"/>
        </w:rPr>
        <w:t>法人代表身份证号码：</w:t>
      </w:r>
      <w:r>
        <w:rPr>
          <w:rFonts w:hint="eastAsia" w:ascii="微软雅黑" w:hAnsi="微软雅黑" w:eastAsia="微软雅黑"/>
          <w:kern w:val="0"/>
          <w:sz w:val="23"/>
          <w:szCs w:val="23"/>
          <w:highlight w:val="white"/>
          <w:u w:val="single"/>
        </w:rPr>
        <w:t>                </w:t>
      </w:r>
    </w:p>
    <w:p>
      <w:pPr>
        <w:widowControl/>
        <w:spacing w:line="360" w:lineRule="auto"/>
        <w:ind w:firstLine="690" w:firstLineChars="300"/>
        <w:jc w:val="left"/>
        <w:rPr>
          <w:rFonts w:eastAsia="微软雅黑"/>
          <w:kern w:val="0"/>
        </w:rPr>
      </w:pPr>
      <w:r>
        <w:rPr>
          <w:rFonts w:hint="eastAsia" w:ascii="宋体" w:hAnsi="宋体"/>
          <w:kern w:val="0"/>
          <w:sz w:val="23"/>
          <w:szCs w:val="23"/>
          <w:highlight w:val="white"/>
        </w:rPr>
        <w:t>签发日期</w:t>
      </w:r>
      <w:r>
        <w:rPr>
          <w:rFonts w:hint="eastAsia" w:ascii="微软雅黑" w:hAnsi="微软雅黑" w:eastAsia="微软雅黑"/>
          <w:kern w:val="0"/>
          <w:sz w:val="23"/>
          <w:szCs w:val="23"/>
          <w:highlight w:val="white"/>
        </w:rPr>
        <w:t>:</w:t>
      </w:r>
      <w:r>
        <w:rPr>
          <w:rFonts w:hint="eastAsia" w:ascii="微软雅黑" w:hAnsi="微软雅黑" w:eastAsia="微软雅黑"/>
          <w:kern w:val="0"/>
          <w:sz w:val="23"/>
          <w:szCs w:val="23"/>
          <w:highlight w:val="white"/>
          <w:u w:val="single"/>
        </w:rPr>
        <w:t xml:space="preserve">     年   月  日         </w:t>
      </w:r>
    </w:p>
    <w:bookmarkEnd w:id="44"/>
    <w:p>
      <w:pPr>
        <w:spacing w:line="360" w:lineRule="auto"/>
        <w:ind w:firstLine="480" w:firstLineChars="200"/>
        <w:rPr>
          <w:rFonts w:ascii="宋体" w:hAnsi="宋体" w:cs="宋体"/>
          <w:color w:val="000000"/>
          <w:sz w:val="24"/>
        </w:rPr>
      </w:pPr>
    </w:p>
    <w:p>
      <w:pPr>
        <w:spacing w:line="276" w:lineRule="auto"/>
        <w:ind w:firstLine="480" w:firstLineChars="200"/>
        <w:jc w:val="right"/>
        <w:rPr>
          <w:rFonts w:ascii="宋体" w:hAnsi="宋体" w:cs="宋体"/>
          <w:color w:val="000000"/>
          <w:sz w:val="24"/>
        </w:rPr>
      </w:pPr>
    </w:p>
    <w:p>
      <w:pPr>
        <w:spacing w:line="276" w:lineRule="auto"/>
        <w:ind w:firstLine="480" w:firstLineChars="200"/>
        <w:jc w:val="right"/>
        <w:rPr>
          <w:rFonts w:ascii="宋体" w:hAnsi="宋体" w:cs="宋体"/>
          <w:color w:val="000000"/>
          <w:sz w:val="24"/>
        </w:rPr>
      </w:pPr>
    </w:p>
    <w:p>
      <w:pPr>
        <w:spacing w:line="276" w:lineRule="auto"/>
        <w:ind w:firstLine="480" w:firstLineChars="200"/>
        <w:jc w:val="right"/>
        <w:rPr>
          <w:rFonts w:ascii="宋体" w:hAnsi="宋体" w:cs="宋体"/>
          <w:color w:val="000000"/>
          <w:sz w:val="24"/>
        </w:rPr>
      </w:pPr>
      <w:r>
        <w:rPr>
          <w:rFonts w:hint="eastAsia" w:ascii="宋体" w:hAnsi="宋体" w:cs="宋体"/>
          <w:color w:val="000000"/>
          <w:sz w:val="24"/>
        </w:rPr>
        <w:t>附：法人和被授权人身份证正反面复印件</w:t>
      </w:r>
    </w:p>
    <w:p>
      <w:pPr>
        <w:spacing w:line="276" w:lineRule="auto"/>
        <w:ind w:firstLine="480" w:firstLineChars="200"/>
        <w:rPr>
          <w:rFonts w:ascii="宋体" w:hAnsi="宋体" w:cs="宋体"/>
          <w:color w:val="000000"/>
          <w:sz w:val="24"/>
        </w:rPr>
      </w:pPr>
    </w:p>
    <w:p>
      <w:pPr>
        <w:pStyle w:val="13"/>
        <w:adjustRightInd w:val="0"/>
        <w:snapToGrid w:val="0"/>
        <w:spacing w:line="276" w:lineRule="auto"/>
        <w:jc w:val="center"/>
        <w:rPr>
          <w:rFonts w:hAnsi="宋体"/>
          <w:b/>
          <w:bCs/>
          <w:sz w:val="24"/>
          <w:szCs w:val="24"/>
        </w:rPr>
      </w:pPr>
      <w:r>
        <w:rPr>
          <w:rFonts w:hint="eastAsia" w:hAnsi="宋体"/>
          <w:b/>
          <w:bCs/>
          <w:sz w:val="24"/>
          <w:szCs w:val="24"/>
        </w:rPr>
        <w:t>法定代表人证明</w:t>
      </w:r>
    </w:p>
    <w:p>
      <w:pPr>
        <w:pStyle w:val="13"/>
        <w:adjustRightInd w:val="0"/>
        <w:snapToGrid w:val="0"/>
        <w:spacing w:line="276" w:lineRule="auto"/>
        <w:jc w:val="center"/>
        <w:rPr>
          <w:rFonts w:hAnsi="宋体"/>
          <w:b/>
          <w:bCs/>
          <w:sz w:val="24"/>
          <w:szCs w:val="24"/>
        </w:rPr>
      </w:pPr>
      <w:r>
        <w:rPr>
          <w:rFonts w:hint="eastAsia" w:hAnsi="宋体"/>
          <w:b/>
          <w:bCs/>
          <w:sz w:val="24"/>
          <w:szCs w:val="24"/>
        </w:rPr>
        <w:t>（适用于法定代表人参加投标）</w:t>
      </w:r>
    </w:p>
    <w:p>
      <w:pPr>
        <w:tabs>
          <w:tab w:val="left" w:pos="6300"/>
        </w:tabs>
        <w:snapToGrid w:val="0"/>
        <w:spacing w:line="460" w:lineRule="exact"/>
        <w:ind w:firstLine="570"/>
        <w:rPr>
          <w:rFonts w:ascii="宋体" w:hAnsi="宋体"/>
          <w:color w:val="0D0D0D"/>
        </w:rPr>
      </w:pPr>
    </w:p>
    <w:p>
      <w:pPr>
        <w:spacing w:line="276" w:lineRule="auto"/>
        <w:ind w:left="900" w:leftChars="200" w:hanging="480" w:hangingChars="200"/>
        <w:rPr>
          <w:rFonts w:ascii="宋体" w:hAnsi="宋体" w:cs="宋体"/>
          <w:color w:val="000000"/>
          <w:sz w:val="24"/>
        </w:rPr>
      </w:pPr>
      <w:r>
        <w:rPr>
          <w:rFonts w:ascii="宋体" w:hAnsi="宋体" w:cs="宋体"/>
          <w:color w:val="000000"/>
          <w:sz w:val="24"/>
        </w:rPr>
        <w:t>（法定代表人姓名）</w:t>
      </w:r>
      <w:r>
        <w:rPr>
          <w:rFonts w:hint="eastAsia" w:ascii="宋体" w:hAnsi="宋体" w:cs="宋体"/>
          <w:color w:val="000000"/>
          <w:sz w:val="24"/>
        </w:rPr>
        <w:t>系</w:t>
      </w:r>
      <w:r>
        <w:rPr>
          <w:rFonts w:ascii="宋体" w:hAnsi="宋体" w:cs="宋体"/>
          <w:color w:val="000000"/>
          <w:sz w:val="24"/>
        </w:rPr>
        <w:t>（供应商名称）</w:t>
      </w:r>
      <w:r>
        <w:rPr>
          <w:rFonts w:hint="eastAsia" w:ascii="宋体" w:hAnsi="宋体" w:cs="宋体"/>
          <w:color w:val="000000"/>
          <w:sz w:val="24"/>
        </w:rPr>
        <w:t>法定代表人，职务为</w:t>
      </w:r>
      <w:r>
        <w:rPr>
          <w:rFonts w:ascii="宋体" w:hAnsi="宋体" w:cs="宋体"/>
          <w:color w:val="000000"/>
          <w:sz w:val="24"/>
        </w:rPr>
        <w:t xml:space="preserve">        （职务名称）。</w:t>
      </w:r>
    </w:p>
    <w:p>
      <w:pPr>
        <w:spacing w:line="276" w:lineRule="auto"/>
        <w:ind w:firstLine="480" w:firstLineChars="200"/>
        <w:rPr>
          <w:rFonts w:ascii="宋体" w:hAnsi="宋体" w:cs="宋体"/>
          <w:color w:val="000000"/>
          <w:sz w:val="24"/>
        </w:rPr>
      </w:pPr>
      <w:r>
        <w:rPr>
          <w:rFonts w:ascii="宋体" w:hAnsi="宋体" w:cs="宋体"/>
          <w:color w:val="000000"/>
          <w:sz w:val="24"/>
        </w:rPr>
        <w:t>特此证明。</w:t>
      </w:r>
    </w:p>
    <w:p>
      <w:pPr>
        <w:spacing w:line="276" w:lineRule="auto"/>
        <w:ind w:firstLine="480" w:firstLineChars="200"/>
        <w:rPr>
          <w:rFonts w:ascii="宋体" w:hAnsi="宋体" w:cs="宋体"/>
          <w:color w:val="000000"/>
          <w:sz w:val="24"/>
        </w:rPr>
      </w:pPr>
      <w:r>
        <w:rPr>
          <w:rFonts w:ascii="宋体" w:hAnsi="宋体" w:cs="宋体"/>
          <w:color w:val="000000"/>
          <w:sz w:val="24"/>
        </w:rPr>
        <w:t>附：</w:t>
      </w:r>
    </w:p>
    <w:p>
      <w:pPr>
        <w:spacing w:line="276"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ascii="宋体" w:hAnsi="宋体" w:cs="宋体"/>
          <w:color w:val="000000"/>
          <w:sz w:val="24"/>
        </w:rPr>
        <w:t xml:space="preserve">身份证号码：   </w:t>
      </w:r>
      <w:r>
        <w:rPr>
          <w:rFonts w:hint="eastAsia" w:ascii="宋体" w:hAnsi="宋体" w:cs="宋体"/>
          <w:color w:val="000000"/>
          <w:sz w:val="24"/>
        </w:rPr>
        <w:t>；</w:t>
      </w:r>
    </w:p>
    <w:p>
      <w:pPr>
        <w:spacing w:line="276" w:lineRule="auto"/>
        <w:ind w:firstLine="480" w:firstLineChars="200"/>
        <w:rPr>
          <w:rFonts w:ascii="宋体" w:hAnsi="宋体" w:cs="宋体"/>
          <w:color w:val="000000"/>
          <w:sz w:val="24"/>
          <w:highlight w:val="yellow"/>
        </w:rPr>
      </w:pPr>
      <w:r>
        <w:rPr>
          <w:rFonts w:hint="eastAsia" w:ascii="宋体" w:hAnsi="宋体" w:cs="宋体"/>
          <w:color w:val="000000"/>
          <w:sz w:val="24"/>
        </w:rPr>
        <w:t>供应商：</w:t>
      </w:r>
      <w:r>
        <w:rPr>
          <w:rFonts w:hint="eastAsia" w:ascii="宋体" w:hAnsi="宋体" w:cs="宋体"/>
          <w:color w:val="000000"/>
          <w:sz w:val="24"/>
          <w:highlight w:val="yellow"/>
        </w:rPr>
        <w:t>(盖</w:t>
      </w:r>
      <w:r>
        <w:rPr>
          <w:rFonts w:hint="eastAsia" w:ascii="宋体" w:hAnsi="宋体" w:cs="宋体"/>
          <w:color w:val="000000"/>
          <w:sz w:val="24"/>
          <w:highlight w:val="yellow"/>
          <w:lang w:val="en-US" w:eastAsia="zh-CN"/>
        </w:rPr>
        <w:t>单位公</w:t>
      </w:r>
      <w:r>
        <w:rPr>
          <w:rFonts w:hint="eastAsia" w:ascii="宋体" w:hAnsi="宋体" w:cs="宋体"/>
          <w:color w:val="000000"/>
          <w:sz w:val="24"/>
          <w:highlight w:val="yellow"/>
        </w:rPr>
        <w:t>章)</w:t>
      </w:r>
    </w:p>
    <w:p>
      <w:pPr>
        <w:spacing w:line="276" w:lineRule="auto"/>
        <w:ind w:firstLine="480" w:firstLineChars="200"/>
        <w:jc w:val="right"/>
        <w:rPr>
          <w:rFonts w:ascii="宋体" w:hAnsi="宋体" w:cs="宋体"/>
          <w:color w:val="000000"/>
          <w:sz w:val="24"/>
        </w:rPr>
      </w:pPr>
      <w:r>
        <w:rPr>
          <w:rFonts w:hint="eastAsia" w:ascii="宋体" w:hAnsi="宋体" w:cs="宋体"/>
          <w:color w:val="000000"/>
          <w:sz w:val="24"/>
        </w:rPr>
        <w:t>附：法人身份证正反面复印件</w:t>
      </w:r>
    </w:p>
    <w:p>
      <w:pPr>
        <w:spacing w:line="276" w:lineRule="auto"/>
        <w:ind w:firstLine="480" w:firstLineChars="200"/>
        <w:rPr>
          <w:rFonts w:ascii="宋体" w:hAnsi="宋体" w:cs="宋体"/>
          <w:color w:val="000000"/>
          <w:sz w:val="24"/>
        </w:rPr>
      </w:pPr>
    </w:p>
    <w:p>
      <w:pPr>
        <w:spacing w:line="276" w:lineRule="auto"/>
        <w:ind w:firstLine="480" w:firstLineChars="200"/>
        <w:jc w:val="right"/>
        <w:rPr>
          <w:rFonts w:ascii="宋体" w:hAnsi="宋体" w:cs="宋体"/>
          <w:color w:val="000000"/>
          <w:sz w:val="24"/>
        </w:rPr>
      </w:pPr>
      <w:r>
        <w:rPr>
          <w:rFonts w:ascii="宋体" w:hAnsi="宋体" w:cs="宋体"/>
          <w:color w:val="000000"/>
          <w:sz w:val="24"/>
        </w:rPr>
        <w:t xml:space="preserve"> 年   月   日</w:t>
      </w:r>
    </w:p>
    <w:p>
      <w:pPr>
        <w:pStyle w:val="13"/>
        <w:spacing w:line="276" w:lineRule="auto"/>
        <w:rPr>
          <w:rFonts w:hAnsi="宋体"/>
          <w:sz w:val="24"/>
          <w:szCs w:val="24"/>
        </w:rPr>
      </w:pPr>
    </w:p>
    <w:p>
      <w:pPr>
        <w:pStyle w:val="13"/>
        <w:spacing w:line="276" w:lineRule="auto"/>
        <w:ind w:firstLine="523" w:firstLineChars="218"/>
        <w:jc w:val="center"/>
        <w:rPr>
          <w:rFonts w:hAnsi="宋体"/>
          <w:sz w:val="24"/>
          <w:szCs w:val="24"/>
        </w:rPr>
        <w:sectPr>
          <w:headerReference r:id="rId4" w:type="first"/>
          <w:headerReference r:id="rId3" w:type="default"/>
          <w:footerReference r:id="rId5" w:type="default"/>
          <w:footerReference r:id="rId6" w:type="even"/>
          <w:pgSz w:w="11906" w:h="16838"/>
          <w:pgMar w:top="1247" w:right="892" w:bottom="794" w:left="934" w:header="851" w:footer="992" w:gutter="0"/>
          <w:cols w:space="720" w:num="1"/>
          <w:docGrid w:type="lines" w:linePitch="312" w:charSpace="0"/>
        </w:sectPr>
      </w:pPr>
    </w:p>
    <w:p>
      <w:pPr>
        <w:spacing w:line="276" w:lineRule="auto"/>
        <w:rPr>
          <w:rFonts w:ascii="宋体" w:hAnsi="宋体"/>
        </w:rPr>
      </w:pPr>
      <w:r>
        <w:rPr>
          <w:rFonts w:hint="eastAsia" w:ascii="宋体" w:hAnsi="宋体" w:cs="宋体"/>
          <w:b/>
          <w:color w:val="000000"/>
          <w:sz w:val="24"/>
          <w:highlight w:val="white"/>
        </w:rPr>
        <w:t xml:space="preserve">                   三、</w:t>
      </w:r>
      <w:r>
        <w:rPr>
          <w:rFonts w:ascii="宋体" w:hAnsi="宋体" w:cs="宋体"/>
          <w:kern w:val="1"/>
          <w:sz w:val="32"/>
          <w:szCs w:val="32"/>
          <w:shd w:val="clear" w:color="auto" w:fill="FFFFFF"/>
        </w:rPr>
        <w:t>投标分项报价表</w:t>
      </w:r>
    </w:p>
    <w:p>
      <w:pPr>
        <w:spacing w:line="360" w:lineRule="auto"/>
        <w:rPr>
          <w:rFonts w:ascii="宋体" w:hAnsi="宋体" w:cs="宋体"/>
          <w:kern w:val="1"/>
          <w:sz w:val="36"/>
        </w:rPr>
      </w:pPr>
      <w:r>
        <w:rPr>
          <w:rFonts w:ascii="宋体" w:hAnsi="宋体" w:cs="宋体"/>
          <w:kern w:val="1"/>
          <w:szCs w:val="18"/>
          <w:shd w:val="clear" w:color="auto" w:fill="FFFFFF"/>
        </w:rPr>
        <w:t xml:space="preserve">供应商名称：                          招标项目编号：                  </w:t>
      </w:r>
    </w:p>
    <w:tbl>
      <w:tblPr>
        <w:tblStyle w:val="25"/>
        <w:tblW w:w="9356" w:type="dxa"/>
        <w:tblInd w:w="108" w:type="dxa"/>
        <w:tblLayout w:type="fixed"/>
        <w:tblCellMar>
          <w:top w:w="0" w:type="dxa"/>
          <w:left w:w="108" w:type="dxa"/>
          <w:bottom w:w="0" w:type="dxa"/>
          <w:right w:w="108" w:type="dxa"/>
        </w:tblCellMar>
      </w:tblPr>
      <w:tblGrid>
        <w:gridCol w:w="426"/>
        <w:gridCol w:w="2538"/>
        <w:gridCol w:w="1128"/>
        <w:gridCol w:w="870"/>
        <w:gridCol w:w="992"/>
        <w:gridCol w:w="1559"/>
        <w:gridCol w:w="1843"/>
      </w:tblGrid>
      <w:tr>
        <w:tblPrEx>
          <w:tblCellMar>
            <w:top w:w="0" w:type="dxa"/>
            <w:left w:w="108" w:type="dxa"/>
            <w:bottom w:w="0" w:type="dxa"/>
            <w:right w:w="108" w:type="dxa"/>
          </w:tblCellMar>
        </w:tblPrEx>
        <w:trPr>
          <w:trHeight w:val="1526" w:hRule="atLeas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ascii="宋体" w:hAnsi="宋体" w:cs="宋体"/>
                <w:kern w:val="1"/>
                <w:shd w:val="clear" w:color="auto" w:fill="FFFFFF"/>
              </w:rPr>
              <w:t>序</w:t>
            </w:r>
          </w:p>
          <w:p>
            <w:pPr>
              <w:jc w:val="center"/>
              <w:rPr>
                <w:rFonts w:ascii="宋体" w:hAnsi="宋体" w:cs="宋体"/>
                <w:kern w:val="1"/>
              </w:rPr>
            </w:pPr>
            <w:r>
              <w:rPr>
                <w:rFonts w:ascii="宋体" w:hAnsi="宋体" w:cs="宋体"/>
                <w:kern w:val="1"/>
                <w:shd w:val="clear" w:color="auto" w:fill="FFFFFF"/>
              </w:rPr>
              <w:t>号</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hint="eastAsia" w:ascii="宋体" w:hAnsi="宋体" w:cs="宋体"/>
                <w:kern w:val="1"/>
                <w:shd w:val="clear" w:color="auto" w:fill="FFFFFF"/>
              </w:rPr>
              <w:t>项目</w:t>
            </w:r>
            <w:r>
              <w:rPr>
                <w:rFonts w:ascii="宋体" w:hAnsi="宋体" w:cs="宋体"/>
                <w:kern w:val="1"/>
                <w:shd w:val="clear" w:color="auto" w:fill="FFFFFF"/>
              </w:rPr>
              <w:t>名称</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hint="eastAsia" w:ascii="宋体" w:hAnsi="宋体" w:cs="宋体"/>
                <w:kern w:val="1"/>
                <w:shd w:val="clear" w:color="auto" w:fill="FFFFFF"/>
              </w:rPr>
              <w:t>服务要求</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hint="eastAsia" w:ascii="宋体" w:hAnsi="宋体" w:cs="宋体"/>
                <w:kern w:val="1"/>
                <w:shd w:val="clear" w:color="auto" w:fill="FFFFFF"/>
              </w:rPr>
              <w:t>数量</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hint="eastAsia" w:ascii="宋体" w:hAnsi="宋体" w:cs="宋体"/>
                <w:kern w:val="1"/>
                <w:shd w:val="clear" w:color="auto" w:fill="FFFFFF"/>
              </w:rPr>
              <w:t>单位</w:t>
            </w:r>
          </w:p>
        </w:tc>
        <w:tc>
          <w:tcPr>
            <w:tcW w:w="1559" w:type="dxa"/>
            <w:tcBorders>
              <w:top w:val="single" w:color="000000" w:sz="4" w:space="0"/>
              <w:left w:val="single" w:color="000000" w:sz="4" w:space="0"/>
              <w:right w:val="single" w:color="000000" w:sz="4" w:space="0"/>
            </w:tcBorders>
          </w:tcPr>
          <w:p>
            <w:pPr>
              <w:jc w:val="center"/>
              <w:rPr>
                <w:rFonts w:ascii="宋体" w:hAnsi="宋体" w:cs="宋体"/>
                <w:kern w:val="1"/>
                <w:shd w:val="clear" w:color="auto" w:fill="FFFFFF"/>
              </w:rPr>
            </w:pPr>
          </w:p>
          <w:p>
            <w:pPr>
              <w:jc w:val="center"/>
              <w:rPr>
                <w:rFonts w:ascii="宋体" w:hAnsi="宋体" w:cs="宋体"/>
                <w:kern w:val="1"/>
                <w:shd w:val="clear" w:color="auto" w:fill="FFFFFF"/>
              </w:rPr>
            </w:pPr>
          </w:p>
          <w:p>
            <w:pPr>
              <w:jc w:val="center"/>
              <w:rPr>
                <w:rFonts w:ascii="宋体" w:hAnsi="宋体" w:cs="宋体"/>
                <w:kern w:val="1"/>
                <w:shd w:val="clear" w:color="auto" w:fill="FFFFFF"/>
              </w:rPr>
            </w:pPr>
            <w:r>
              <w:rPr>
                <w:rFonts w:hint="eastAsia" w:ascii="宋体" w:hAnsi="宋体" w:cs="宋体"/>
                <w:kern w:val="1"/>
                <w:shd w:val="clear" w:color="auto" w:fill="FFFFFF"/>
              </w:rPr>
              <w:t>单价（元）</w:t>
            </w:r>
          </w:p>
        </w:tc>
        <w:tc>
          <w:tcPr>
            <w:tcW w:w="1843" w:type="dxa"/>
            <w:tcBorders>
              <w:top w:val="single" w:color="000000" w:sz="4" w:space="0"/>
              <w:left w:val="single" w:color="000000" w:sz="4" w:space="0"/>
              <w:right w:val="single" w:color="000000" w:sz="4" w:space="0"/>
            </w:tcBorders>
            <w:vAlign w:val="center"/>
          </w:tcPr>
          <w:p>
            <w:pPr>
              <w:jc w:val="center"/>
              <w:rPr>
                <w:rFonts w:ascii="宋体" w:hAnsi="宋体" w:cs="宋体"/>
                <w:kern w:val="1"/>
              </w:rPr>
            </w:pPr>
            <w:r>
              <w:rPr>
                <w:rFonts w:ascii="宋体" w:hAnsi="宋体" w:cs="宋体"/>
                <w:kern w:val="1"/>
                <w:shd w:val="clear" w:color="auto" w:fill="FFFFFF"/>
              </w:rPr>
              <w:t>总价（元）</w:t>
            </w:r>
          </w:p>
        </w:tc>
      </w:tr>
      <w:tr>
        <w:tblPrEx>
          <w:tblCellMar>
            <w:top w:w="0" w:type="dxa"/>
            <w:left w:w="108" w:type="dxa"/>
            <w:bottom w:w="0" w:type="dxa"/>
            <w:right w:w="108" w:type="dxa"/>
          </w:tblCellMar>
        </w:tblPrEx>
        <w:trPr>
          <w:trHeight w:val="953" w:hRule="exac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ascii="宋体" w:hAnsi="宋体" w:cs="宋体"/>
                <w:kern w:val="1"/>
                <w:shd w:val="clear" w:color="auto" w:fill="FFFFFF"/>
              </w:rPr>
              <w:t>1</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kern w:val="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r>
      <w:tr>
        <w:tblPrEx>
          <w:tblCellMar>
            <w:top w:w="0" w:type="dxa"/>
            <w:left w:w="108" w:type="dxa"/>
            <w:bottom w:w="0" w:type="dxa"/>
            <w:right w:w="108" w:type="dxa"/>
          </w:tblCellMar>
        </w:tblPrEx>
        <w:trPr>
          <w:trHeight w:val="953" w:hRule="exact"/>
        </w:trPr>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hd w:val="clear" w:color="auto" w:fill="FFFFFF"/>
              </w:rPr>
            </w:pPr>
            <w:r>
              <w:rPr>
                <w:rFonts w:hint="eastAsia" w:ascii="宋体" w:hAnsi="宋体" w:cs="宋体"/>
                <w:kern w:val="1"/>
                <w:shd w:val="clear" w:color="auto" w:fill="FFFFFF"/>
              </w:rPr>
              <w:t>2</w:t>
            </w:r>
          </w:p>
        </w:tc>
        <w:tc>
          <w:tcPr>
            <w:tcW w:w="25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kern w:val="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kern w:val="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r>
      <w:tr>
        <w:tblPrEx>
          <w:tblCellMar>
            <w:top w:w="0" w:type="dxa"/>
            <w:left w:w="108" w:type="dxa"/>
            <w:bottom w:w="0" w:type="dxa"/>
            <w:right w:w="108" w:type="dxa"/>
          </w:tblCellMar>
        </w:tblPrEx>
        <w:trPr>
          <w:trHeight w:val="454" w:hRule="exact"/>
        </w:trPr>
        <w:tc>
          <w:tcPr>
            <w:tcW w:w="29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r>
              <w:rPr>
                <w:rFonts w:ascii="宋体" w:hAnsi="宋体" w:cs="宋体"/>
                <w:kern w:val="1"/>
                <w:shd w:val="clear" w:color="auto" w:fill="FFFFFF"/>
              </w:rPr>
              <w:t>报价总计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c>
          <w:tcPr>
            <w:tcW w:w="1559"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kern w:val="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rPr>
            </w:pPr>
          </w:p>
        </w:tc>
      </w:tr>
    </w:tbl>
    <w:p>
      <w:pPr>
        <w:pStyle w:val="13"/>
        <w:spacing w:line="300" w:lineRule="exact"/>
        <w:rPr>
          <w:rFonts w:hAnsi="宋体" w:cs="宋体"/>
          <w:spacing w:val="20"/>
          <w:sz w:val="28"/>
          <w:szCs w:val="28"/>
        </w:rPr>
      </w:pPr>
    </w:p>
    <w:p>
      <w:pPr>
        <w:adjustRightInd w:val="0"/>
        <w:snapToGrid w:val="0"/>
        <w:spacing w:line="360" w:lineRule="auto"/>
        <w:rPr>
          <w:rFonts w:ascii="宋体" w:hAnsi="宋体"/>
          <w:highlight w:val="yellow"/>
        </w:rPr>
      </w:pPr>
      <w:bookmarkStart w:id="45" w:name="_Hlk38271690"/>
      <w:r>
        <w:rPr>
          <w:rFonts w:ascii="宋体" w:hAnsi="宋体"/>
          <w:highlight w:val="white"/>
        </w:rPr>
        <w:t>投标供应商：</w:t>
      </w:r>
      <w:r>
        <w:rPr>
          <w:rFonts w:hint="eastAsia" w:ascii="宋体" w:hAnsi="宋体"/>
          <w:highlight w:val="yellow"/>
        </w:rPr>
        <w:t>(盖单位</w:t>
      </w:r>
      <w:r>
        <w:rPr>
          <w:rFonts w:hint="eastAsia" w:ascii="宋体" w:hAnsi="宋体"/>
          <w:highlight w:val="yellow"/>
          <w:lang w:val="en-US" w:eastAsia="zh-CN"/>
        </w:rPr>
        <w:t>公章</w:t>
      </w:r>
      <w:r>
        <w:rPr>
          <w:rFonts w:hint="eastAsia" w:ascii="宋体" w:hAnsi="宋体"/>
          <w:highlight w:val="yellow"/>
        </w:rPr>
        <w:t>)</w:t>
      </w:r>
    </w:p>
    <w:p>
      <w:pPr>
        <w:adjustRightInd w:val="0"/>
        <w:snapToGrid w:val="0"/>
        <w:spacing w:line="360" w:lineRule="auto"/>
        <w:rPr>
          <w:rFonts w:ascii="宋体" w:hAnsi="宋体"/>
        </w:rPr>
      </w:pPr>
      <w:r>
        <w:rPr>
          <w:rFonts w:ascii="宋体" w:hAnsi="宋体"/>
          <w:highlight w:val="white"/>
        </w:rPr>
        <w:t>法人代表</w:t>
      </w:r>
      <w:r>
        <w:rPr>
          <w:rFonts w:hint="eastAsia" w:ascii="Calibri" w:hAnsi="Calibri"/>
          <w:highlight w:val="yellow"/>
        </w:rPr>
        <w:t>（</w:t>
      </w:r>
      <w:r>
        <w:rPr>
          <w:rFonts w:hint="eastAsia" w:ascii="宋体" w:hAnsi="宋体"/>
          <w:highlight w:val="yellow"/>
          <w:lang w:val="en-US" w:eastAsia="zh-CN"/>
        </w:rPr>
        <w:t>签字或盖章</w:t>
      </w:r>
      <w:r>
        <w:rPr>
          <w:rFonts w:ascii="宋体" w:hAnsi="宋体"/>
          <w:highlight w:val="yellow"/>
        </w:rPr>
        <w:t>）</w:t>
      </w:r>
      <w:r>
        <w:rPr>
          <w:rFonts w:hint="eastAsia" w:ascii="宋体" w:hAnsi="宋体"/>
          <w:highlight w:val="white"/>
        </w:rPr>
        <w:t>：</w:t>
      </w:r>
    </w:p>
    <w:bookmarkEnd w:id="45"/>
    <w:p>
      <w:pPr>
        <w:spacing w:line="300" w:lineRule="auto"/>
        <w:rPr>
          <w:rFonts w:ascii="宋体" w:hAnsi="宋体" w:cs="宋体"/>
          <w:kern w:val="1"/>
        </w:rPr>
      </w:pPr>
    </w:p>
    <w:p>
      <w:pPr>
        <w:spacing w:line="360" w:lineRule="exact"/>
        <w:rPr>
          <w:rFonts w:ascii="宋体" w:hAnsi="宋体" w:cs="宋体"/>
          <w:kern w:val="1"/>
        </w:rPr>
      </w:pPr>
      <w:r>
        <w:rPr>
          <w:rFonts w:ascii="宋体" w:hAnsi="宋体" w:cs="宋体"/>
          <w:kern w:val="1"/>
          <w:shd w:val="clear" w:color="auto" w:fill="FFFFFF"/>
        </w:rPr>
        <w:t>注：1、如果按单价计算的结果与总价不一致，以单价为准修正总价。</w:t>
      </w:r>
      <w:r>
        <w:rPr>
          <w:rFonts w:ascii="宋体" w:hAnsi="宋体" w:cs="宋体"/>
          <w:kern w:val="1"/>
          <w:shd w:val="clear" w:color="auto" w:fill="FFFFFF"/>
        </w:rPr>
        <w:br w:type="textWrapping"/>
      </w:r>
      <w:r>
        <w:rPr>
          <w:rFonts w:ascii="宋体" w:hAnsi="宋体" w:cs="宋体"/>
          <w:kern w:val="1"/>
          <w:shd w:val="clear" w:color="auto" w:fill="FFFFFF"/>
        </w:rPr>
        <w:t>  2、如果不提供详细分项报价将视为没有实质性响应竞争性磋商文件。</w:t>
      </w:r>
      <w:r>
        <w:rPr>
          <w:rFonts w:ascii="宋体" w:hAnsi="宋体" w:cs="宋体"/>
          <w:kern w:val="1"/>
          <w:shd w:val="clear" w:color="auto" w:fill="FFFFFF"/>
        </w:rPr>
        <w:br w:type="textWrapping"/>
      </w:r>
      <w:r>
        <w:rPr>
          <w:rFonts w:ascii="宋体" w:hAnsi="宋体" w:cs="宋体"/>
          <w:kern w:val="1"/>
          <w:shd w:val="clear" w:color="auto" w:fill="FFFFFF"/>
        </w:rPr>
        <w:t>  3、上述单价为综合单价，应包含一切税费。</w:t>
      </w:r>
    </w:p>
    <w:p>
      <w:pPr>
        <w:spacing w:line="360" w:lineRule="exact"/>
        <w:ind w:firstLine="412"/>
        <w:rPr>
          <w:rFonts w:ascii="宋体" w:hAnsi="宋体" w:cs="宋体"/>
          <w:kern w:val="1"/>
        </w:rPr>
      </w:pPr>
      <w:r>
        <w:rPr>
          <w:rFonts w:ascii="宋体" w:hAnsi="宋体" w:cs="宋体"/>
          <w:kern w:val="1"/>
          <w:shd w:val="clear" w:color="auto" w:fill="FFFFFF"/>
        </w:rPr>
        <w:t>4、供应商根据项目实际填写，表中单项，项目招标要求不涉及的可留空或自行调整。</w:t>
      </w:r>
    </w:p>
    <w:p>
      <w:pPr>
        <w:spacing w:line="360" w:lineRule="exact"/>
        <w:ind w:firstLine="412"/>
        <w:rPr>
          <w:rFonts w:ascii="宋体" w:hAnsi="宋体" w:cs="宋体"/>
          <w:kern w:val="1"/>
        </w:rPr>
      </w:pPr>
      <w:r>
        <w:rPr>
          <w:rFonts w:ascii="宋体" w:hAnsi="宋体" w:cs="宋体"/>
          <w:kern w:val="1"/>
          <w:shd w:val="clear" w:color="auto" w:fill="FFFFFF"/>
        </w:rPr>
        <w:t>5、表格不够可以自行加页；具体配置请供应商填写完全，没有填写完全的则按无此配置评标。</w:t>
      </w:r>
    </w:p>
    <w:p>
      <w:pPr>
        <w:spacing w:before="240" w:after="480" w:line="276" w:lineRule="auto"/>
        <w:jc w:val="center"/>
        <w:rPr>
          <w:rFonts w:ascii="宋体" w:hAnsi="宋体"/>
          <w:b/>
          <w:sz w:val="24"/>
        </w:rPr>
      </w:pPr>
    </w:p>
    <w:p>
      <w:pPr>
        <w:spacing w:before="240" w:after="480" w:line="276" w:lineRule="auto"/>
        <w:jc w:val="center"/>
        <w:rPr>
          <w:rFonts w:ascii="宋体" w:hAnsi="宋体"/>
          <w:b/>
          <w:sz w:val="24"/>
        </w:rPr>
      </w:pPr>
    </w:p>
    <w:p>
      <w:pPr>
        <w:spacing w:before="240" w:after="480" w:line="276" w:lineRule="auto"/>
        <w:jc w:val="center"/>
        <w:rPr>
          <w:rFonts w:ascii="宋体" w:hAnsi="宋体"/>
          <w:b/>
          <w:sz w:val="24"/>
        </w:rPr>
      </w:pPr>
    </w:p>
    <w:p>
      <w:pPr>
        <w:spacing w:before="240" w:after="480" w:line="276" w:lineRule="auto"/>
        <w:jc w:val="center"/>
        <w:rPr>
          <w:rFonts w:ascii="宋体" w:hAnsi="宋体"/>
          <w:b/>
          <w:sz w:val="24"/>
        </w:rPr>
      </w:pPr>
    </w:p>
    <w:p>
      <w:pPr>
        <w:spacing w:before="240" w:after="480" w:line="276" w:lineRule="auto"/>
        <w:jc w:val="center"/>
        <w:rPr>
          <w:rFonts w:ascii="宋体" w:hAnsi="宋体"/>
          <w:b/>
          <w:sz w:val="24"/>
        </w:rPr>
      </w:pPr>
    </w:p>
    <w:p>
      <w:pPr>
        <w:spacing w:before="240" w:after="480" w:line="276" w:lineRule="auto"/>
        <w:rPr>
          <w:rFonts w:ascii="宋体" w:hAnsi="宋体"/>
          <w:b/>
          <w:sz w:val="24"/>
        </w:rPr>
      </w:pPr>
    </w:p>
    <w:p>
      <w:pPr>
        <w:spacing w:line="360" w:lineRule="auto"/>
        <w:jc w:val="center"/>
        <w:rPr>
          <w:rFonts w:ascii="宋体" w:hAnsi="宋体"/>
          <w:b/>
          <w:bCs/>
          <w:sz w:val="32"/>
          <w:szCs w:val="32"/>
          <w:highlight w:val="white"/>
        </w:rPr>
      </w:pPr>
    </w:p>
    <w:p>
      <w:pPr>
        <w:spacing w:line="360" w:lineRule="auto"/>
        <w:jc w:val="center"/>
        <w:rPr>
          <w:rFonts w:ascii="宋体" w:hAnsi="宋体"/>
          <w:sz w:val="32"/>
          <w:szCs w:val="32"/>
          <w:highlight w:val="white"/>
        </w:rPr>
      </w:pPr>
      <w:r>
        <w:rPr>
          <w:rFonts w:hint="eastAsia" w:ascii="宋体" w:hAnsi="宋体"/>
          <w:sz w:val="32"/>
          <w:szCs w:val="32"/>
          <w:highlight w:val="white"/>
        </w:rPr>
        <w:t>四、服务要求</w:t>
      </w:r>
      <w:r>
        <w:rPr>
          <w:rFonts w:ascii="宋体" w:hAnsi="宋体"/>
          <w:sz w:val="32"/>
          <w:szCs w:val="32"/>
          <w:highlight w:val="white"/>
        </w:rPr>
        <w:t>偏离表</w:t>
      </w:r>
      <w:r>
        <w:rPr>
          <w:rFonts w:hint="eastAsia" w:ascii="宋体" w:hAnsi="宋体"/>
          <w:sz w:val="32"/>
          <w:szCs w:val="32"/>
          <w:highlight w:val="white"/>
        </w:rPr>
        <w:t>或技术参数偏离表</w:t>
      </w:r>
    </w:p>
    <w:p>
      <w:pPr>
        <w:spacing w:line="360" w:lineRule="auto"/>
        <w:jc w:val="center"/>
        <w:rPr>
          <w:rFonts w:ascii="宋体" w:hAnsi="宋体"/>
          <w:sz w:val="3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287"/>
        <w:gridCol w:w="2325"/>
        <w:gridCol w:w="1904"/>
        <w:gridCol w:w="19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339" w:type="dxa"/>
            <w:vAlign w:val="center"/>
          </w:tcPr>
          <w:p>
            <w:pPr>
              <w:jc w:val="center"/>
              <w:rPr>
                <w:rFonts w:ascii="宋体" w:hAnsi="宋体"/>
              </w:rPr>
            </w:pPr>
            <w:r>
              <w:rPr>
                <w:rFonts w:ascii="宋体" w:hAnsi="宋体"/>
                <w:highlight w:val="white"/>
              </w:rPr>
              <w:t>序号</w:t>
            </w:r>
          </w:p>
        </w:tc>
        <w:tc>
          <w:tcPr>
            <w:tcW w:w="1287" w:type="dxa"/>
            <w:vAlign w:val="center"/>
          </w:tcPr>
          <w:p>
            <w:pPr>
              <w:jc w:val="center"/>
              <w:rPr>
                <w:rFonts w:ascii="宋体" w:hAnsi="宋体"/>
              </w:rPr>
            </w:pPr>
            <w:r>
              <w:rPr>
                <w:rFonts w:hint="eastAsia" w:ascii="宋体" w:hAnsi="宋体"/>
                <w:highlight w:val="white"/>
              </w:rPr>
              <w:t>服务项目</w:t>
            </w:r>
          </w:p>
        </w:tc>
        <w:tc>
          <w:tcPr>
            <w:tcW w:w="2325" w:type="dxa"/>
            <w:vAlign w:val="center"/>
          </w:tcPr>
          <w:p>
            <w:pPr>
              <w:jc w:val="center"/>
              <w:rPr>
                <w:rFonts w:ascii="宋体" w:hAnsi="宋体"/>
              </w:rPr>
            </w:pPr>
            <w:r>
              <w:rPr>
                <w:rFonts w:hint="eastAsia" w:ascii="宋体" w:hAnsi="宋体"/>
                <w:highlight w:val="white"/>
              </w:rPr>
              <w:t>竞争性磋商文件</w:t>
            </w:r>
            <w:r>
              <w:rPr>
                <w:rFonts w:ascii="宋体" w:hAnsi="宋体"/>
                <w:highlight w:val="white"/>
              </w:rPr>
              <w:t>的</w:t>
            </w:r>
            <w:r>
              <w:rPr>
                <w:rFonts w:hint="eastAsia" w:ascii="宋体" w:hAnsi="宋体"/>
                <w:highlight w:val="white"/>
              </w:rPr>
              <w:t>服务要求</w:t>
            </w:r>
          </w:p>
        </w:tc>
        <w:tc>
          <w:tcPr>
            <w:tcW w:w="1904" w:type="dxa"/>
            <w:vAlign w:val="center"/>
          </w:tcPr>
          <w:p>
            <w:pPr>
              <w:jc w:val="center"/>
              <w:rPr>
                <w:rFonts w:ascii="宋体" w:hAnsi="宋体"/>
              </w:rPr>
            </w:pPr>
            <w:r>
              <w:rPr>
                <w:rFonts w:ascii="宋体" w:hAnsi="宋体"/>
                <w:highlight w:val="white"/>
              </w:rPr>
              <w:t>竞争性磋商响应文件的</w:t>
            </w:r>
            <w:r>
              <w:rPr>
                <w:rFonts w:hint="eastAsia" w:ascii="宋体" w:hAnsi="宋体"/>
                <w:highlight w:val="white"/>
              </w:rPr>
              <w:t>服务响应</w:t>
            </w:r>
          </w:p>
        </w:tc>
        <w:tc>
          <w:tcPr>
            <w:tcW w:w="1904" w:type="dxa"/>
            <w:vAlign w:val="center"/>
          </w:tcPr>
          <w:p>
            <w:pPr>
              <w:jc w:val="center"/>
              <w:rPr>
                <w:rFonts w:ascii="宋体" w:hAnsi="宋体"/>
              </w:rPr>
            </w:pPr>
            <w:r>
              <w:rPr>
                <w:rFonts w:ascii="宋体" w:hAnsi="宋体"/>
                <w:highlight w:val="white"/>
              </w:rPr>
              <w:t>差异说明</w:t>
            </w:r>
          </w:p>
        </w:tc>
        <w:tc>
          <w:tcPr>
            <w:tcW w:w="1904" w:type="dxa"/>
            <w:vAlign w:val="center"/>
          </w:tcPr>
          <w:p>
            <w:pPr>
              <w:jc w:val="center"/>
              <w:rPr>
                <w:rFonts w:ascii="宋体" w:hAnsi="宋体"/>
                <w:highlight w:val="white"/>
              </w:rPr>
            </w:pPr>
            <w:r>
              <w:rPr>
                <w:rFonts w:ascii="宋体" w:hAnsi="宋体"/>
              </w:rPr>
              <w:t>备注</w:t>
            </w:r>
            <w:r>
              <w:rPr>
                <w:rFonts w:hint="eastAsia" w:ascii="宋体" w:hAnsi="宋体"/>
              </w:rPr>
              <w:t>：</w:t>
            </w:r>
            <w:r>
              <w:rPr>
                <w:rFonts w:ascii="宋体" w:hAnsi="宋体"/>
              </w:rPr>
              <w:t>相关证明材料在竞争性磋商响应文件中的具体位置</w:t>
            </w:r>
            <w:r>
              <w:rPr>
                <w:rFonts w:hint="eastAsia" w:ascii="宋体" w:hAnsi="宋体"/>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spacing w:line="360" w:lineRule="auto"/>
              <w:jc w:val="center"/>
              <w:rPr>
                <w:rFonts w:ascii="宋体" w:hAnsi="宋体"/>
              </w:rPr>
            </w:pPr>
            <w:r>
              <w:rPr>
                <w:rFonts w:ascii="宋体" w:hAnsi="宋体"/>
                <w:highlight w:val="white"/>
              </w:rPr>
              <w:t>1</w:t>
            </w:r>
          </w:p>
        </w:tc>
        <w:tc>
          <w:tcPr>
            <w:tcW w:w="1287" w:type="dxa"/>
            <w:vAlign w:val="center"/>
          </w:tcPr>
          <w:p>
            <w:pPr>
              <w:spacing w:line="360" w:lineRule="auto"/>
              <w:jc w:val="center"/>
              <w:rPr>
                <w:rFonts w:ascii="宋体" w:hAnsi="宋体"/>
              </w:rPr>
            </w:pPr>
          </w:p>
        </w:tc>
        <w:tc>
          <w:tcPr>
            <w:tcW w:w="2325" w:type="dxa"/>
            <w:vAlign w:val="center"/>
          </w:tcPr>
          <w:p>
            <w:pPr>
              <w:spacing w:line="360" w:lineRule="auto"/>
              <w:jc w:val="center"/>
              <w:rPr>
                <w:rFonts w:ascii="宋体" w:hAnsi="宋体"/>
              </w:rPr>
            </w:pPr>
          </w:p>
        </w:tc>
        <w:tc>
          <w:tcPr>
            <w:tcW w:w="1904" w:type="dxa"/>
            <w:vAlign w:val="center"/>
          </w:tcPr>
          <w:p>
            <w:pPr>
              <w:spacing w:line="360" w:lineRule="auto"/>
              <w:jc w:val="center"/>
              <w:rPr>
                <w:rFonts w:ascii="宋体" w:hAnsi="宋体"/>
              </w:rPr>
            </w:pPr>
          </w:p>
        </w:tc>
        <w:tc>
          <w:tcPr>
            <w:tcW w:w="1904" w:type="dxa"/>
            <w:vAlign w:val="center"/>
          </w:tcPr>
          <w:p>
            <w:pPr>
              <w:spacing w:line="360" w:lineRule="auto"/>
              <w:jc w:val="center"/>
              <w:rPr>
                <w:rFonts w:ascii="宋体" w:hAnsi="宋体"/>
              </w:rPr>
            </w:pPr>
          </w:p>
        </w:tc>
        <w:tc>
          <w:tcPr>
            <w:tcW w:w="1904"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r>
              <w:rPr>
                <w:rFonts w:ascii="宋体" w:hAnsi="宋体"/>
                <w:highlight w:val="white"/>
              </w:rPr>
              <w:t>2</w:t>
            </w: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r>
              <w:rPr>
                <w:rFonts w:ascii="宋体" w:hAnsi="宋体"/>
                <w:highlight w:val="white"/>
              </w:rPr>
              <w:t>3</w:t>
            </w: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r>
              <w:rPr>
                <w:rFonts w:ascii="宋体" w:hAnsi="宋体"/>
                <w:highlight w:val="white"/>
              </w:rPr>
              <w:t>…</w:t>
            </w: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9" w:type="dxa"/>
            <w:vAlign w:val="center"/>
          </w:tcPr>
          <w:p>
            <w:pPr>
              <w:jc w:val="center"/>
              <w:rPr>
                <w:rFonts w:ascii="宋体" w:hAnsi="宋体"/>
              </w:rPr>
            </w:pPr>
          </w:p>
        </w:tc>
        <w:tc>
          <w:tcPr>
            <w:tcW w:w="1287" w:type="dxa"/>
            <w:vAlign w:val="center"/>
          </w:tcPr>
          <w:p>
            <w:pPr>
              <w:jc w:val="center"/>
              <w:rPr>
                <w:rFonts w:ascii="宋体" w:hAnsi="宋体"/>
              </w:rPr>
            </w:pPr>
          </w:p>
        </w:tc>
        <w:tc>
          <w:tcPr>
            <w:tcW w:w="2325"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c>
          <w:tcPr>
            <w:tcW w:w="1904" w:type="dxa"/>
            <w:vAlign w:val="center"/>
          </w:tcPr>
          <w:p>
            <w:pPr>
              <w:jc w:val="center"/>
              <w:rPr>
                <w:rFonts w:ascii="宋体" w:hAnsi="宋体"/>
              </w:rPr>
            </w:pPr>
          </w:p>
        </w:tc>
      </w:tr>
    </w:tbl>
    <w:p>
      <w:pPr>
        <w:rPr>
          <w:rFonts w:ascii="宋体" w:hAnsi="宋体"/>
          <w:szCs w:val="18"/>
        </w:rPr>
      </w:pPr>
    </w:p>
    <w:p>
      <w:pPr>
        <w:spacing w:line="300" w:lineRule="auto"/>
        <w:rPr>
          <w:rFonts w:ascii="宋体" w:hAnsi="宋体"/>
        </w:rPr>
      </w:pPr>
    </w:p>
    <w:p>
      <w:pPr>
        <w:adjustRightInd w:val="0"/>
        <w:snapToGrid w:val="0"/>
        <w:spacing w:line="360" w:lineRule="auto"/>
        <w:rPr>
          <w:rFonts w:ascii="宋体" w:hAnsi="宋体"/>
        </w:rPr>
      </w:pPr>
      <w:r>
        <w:rPr>
          <w:rFonts w:ascii="宋体" w:hAnsi="宋体"/>
          <w:highlight w:val="white"/>
        </w:rPr>
        <w:t>投标供应商：</w:t>
      </w:r>
      <w:r>
        <w:rPr>
          <w:rFonts w:hint="eastAsia" w:ascii="宋体" w:hAnsi="宋体"/>
          <w:highlight w:val="yellow"/>
        </w:rPr>
        <w:t>(盖单位</w:t>
      </w:r>
      <w:r>
        <w:rPr>
          <w:rFonts w:hint="eastAsia" w:ascii="宋体" w:hAnsi="宋体"/>
          <w:highlight w:val="yellow"/>
          <w:lang w:val="en-US" w:eastAsia="zh-CN"/>
        </w:rPr>
        <w:t>公章</w:t>
      </w:r>
      <w:r>
        <w:rPr>
          <w:rFonts w:hint="eastAsia" w:ascii="宋体" w:hAnsi="宋体"/>
          <w:highlight w:val="yellow"/>
        </w:rPr>
        <w:t>)</w:t>
      </w:r>
    </w:p>
    <w:p>
      <w:pPr>
        <w:adjustRightInd w:val="0"/>
        <w:snapToGrid w:val="0"/>
        <w:spacing w:line="360" w:lineRule="auto"/>
        <w:rPr>
          <w:rFonts w:ascii="宋体" w:hAnsi="宋体"/>
        </w:rPr>
      </w:pPr>
      <w:r>
        <w:rPr>
          <w:rFonts w:ascii="宋体" w:hAnsi="宋体"/>
          <w:highlight w:val="white"/>
        </w:rPr>
        <w:t>法人代表</w:t>
      </w:r>
      <w:r>
        <w:rPr>
          <w:rFonts w:hint="eastAsia" w:ascii="Calibri" w:hAnsi="Calibri"/>
          <w:highlight w:val="yellow"/>
        </w:rPr>
        <w:t>（</w:t>
      </w:r>
      <w:r>
        <w:rPr>
          <w:rFonts w:hint="eastAsia" w:ascii="宋体" w:hAnsi="宋体"/>
          <w:highlight w:val="yellow"/>
          <w:lang w:val="en-US" w:eastAsia="zh-CN"/>
        </w:rPr>
        <w:t>签字或盖章</w:t>
      </w:r>
      <w:r>
        <w:rPr>
          <w:rFonts w:ascii="宋体" w:hAnsi="宋体"/>
          <w:highlight w:val="yellow"/>
        </w:rPr>
        <w:t>）</w:t>
      </w:r>
      <w:r>
        <w:rPr>
          <w:rFonts w:hint="eastAsia" w:ascii="宋体" w:hAnsi="宋体"/>
          <w:highlight w:val="white"/>
        </w:rPr>
        <w:t>：</w:t>
      </w:r>
    </w:p>
    <w:p>
      <w:pPr>
        <w:spacing w:line="300" w:lineRule="auto"/>
        <w:rPr>
          <w:rFonts w:ascii="宋体" w:hAnsi="宋体"/>
        </w:rPr>
      </w:pPr>
    </w:p>
    <w:p>
      <w:pPr>
        <w:spacing w:line="360" w:lineRule="exact"/>
        <w:rPr>
          <w:rFonts w:ascii="宋体" w:hAnsi="宋体"/>
        </w:rPr>
      </w:pPr>
      <w:r>
        <w:rPr>
          <w:rFonts w:ascii="宋体" w:hAnsi="宋体"/>
          <w:highlight w:val="white"/>
        </w:rPr>
        <w:t>注：1、本表填写时，投标货物技术参数与规格注意不得复制招</w:t>
      </w:r>
      <w:r>
        <w:rPr>
          <w:rFonts w:hint="eastAsia" w:ascii="宋体" w:hAnsi="宋体"/>
          <w:highlight w:val="white"/>
        </w:rPr>
        <w:t>竞争性磋商文件</w:t>
      </w:r>
      <w:r>
        <w:rPr>
          <w:rFonts w:ascii="宋体" w:hAnsi="宋体"/>
          <w:highlight w:val="white"/>
        </w:rPr>
        <w:t>的技术参数要求，应据实填写。</w:t>
      </w:r>
    </w:p>
    <w:p>
      <w:pPr>
        <w:spacing w:line="360" w:lineRule="exact"/>
        <w:ind w:firstLine="411" w:firstLineChars="196"/>
        <w:rPr>
          <w:rFonts w:ascii="宋体" w:hAnsi="宋体"/>
        </w:rPr>
      </w:pPr>
      <w:r>
        <w:rPr>
          <w:rFonts w:ascii="宋体" w:hAnsi="宋体"/>
          <w:highlight w:val="white"/>
        </w:rPr>
        <w:t>2、供应商根据项目实际填写，表中单项，项目招标要求不涉及的可留空或自行调整。</w:t>
      </w:r>
    </w:p>
    <w:p>
      <w:pPr>
        <w:spacing w:line="360" w:lineRule="exact"/>
        <w:ind w:firstLine="411" w:firstLineChars="196"/>
        <w:rPr>
          <w:rFonts w:ascii="宋体" w:hAnsi="宋体"/>
        </w:rPr>
      </w:pPr>
    </w:p>
    <w:p>
      <w:pPr>
        <w:spacing w:line="360" w:lineRule="exact"/>
        <w:ind w:firstLine="411" w:firstLineChars="196"/>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exact"/>
        <w:rPr>
          <w:rFonts w:ascii="宋体" w:hAnsi="宋体"/>
        </w:rPr>
      </w:pPr>
    </w:p>
    <w:p>
      <w:pPr>
        <w:spacing w:line="360" w:lineRule="auto"/>
        <w:jc w:val="center"/>
        <w:rPr>
          <w:rFonts w:ascii="宋体" w:hAnsi="宋体"/>
          <w:b/>
          <w:bCs/>
          <w:sz w:val="32"/>
          <w:szCs w:val="32"/>
          <w:highlight w:val="white"/>
        </w:rPr>
      </w:pPr>
    </w:p>
    <w:p>
      <w:pPr>
        <w:spacing w:line="360" w:lineRule="auto"/>
        <w:jc w:val="center"/>
        <w:rPr>
          <w:rFonts w:ascii="宋体" w:hAnsi="宋体"/>
          <w:b/>
          <w:bCs/>
          <w:sz w:val="32"/>
          <w:szCs w:val="32"/>
          <w:highlight w:val="white"/>
        </w:rPr>
      </w:pPr>
    </w:p>
    <w:p>
      <w:pPr>
        <w:pStyle w:val="5"/>
        <w:jc w:val="center"/>
        <w:rPr>
          <w:rFonts w:hAnsi="宋体"/>
          <w:color w:val="000000"/>
          <w:sz w:val="28"/>
          <w:szCs w:val="28"/>
        </w:rPr>
      </w:pPr>
      <w:r>
        <w:rPr>
          <w:rFonts w:hint="eastAsia" w:hAnsi="宋体"/>
          <w:color w:val="000000"/>
        </w:rPr>
        <w:t>五、主要成交标的承诺函</w:t>
      </w: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致：</w:t>
      </w:r>
      <w:r>
        <w:rPr>
          <w:rFonts w:hint="eastAsia" w:ascii="宋体" w:hAnsi="宋体"/>
          <w:b/>
          <w:color w:val="000000"/>
          <w:sz w:val="24"/>
          <w:szCs w:val="24"/>
          <w:u w:val="single"/>
        </w:rPr>
        <w:t xml:space="preserve">         （代理机构全称）</w:t>
      </w:r>
    </w:p>
    <w:p>
      <w:pPr>
        <w:spacing w:line="360" w:lineRule="auto"/>
        <w:rPr>
          <w:rFonts w:ascii="宋体" w:hAnsi="宋体"/>
          <w:b/>
          <w:color w:val="000000"/>
          <w:sz w:val="24"/>
        </w:rPr>
      </w:pPr>
      <w:r>
        <w:rPr>
          <w:rFonts w:hint="eastAsia" w:ascii="宋体" w:hAnsi="宋体"/>
          <w:b/>
          <w:color w:val="000000"/>
          <w:sz w:val="24"/>
          <w:szCs w:val="24"/>
          <w:u w:val="single"/>
        </w:rPr>
        <w:t xml:space="preserve">         （采购人全称）</w:t>
      </w:r>
    </w:p>
    <w:p>
      <w:pPr>
        <w:rPr>
          <w:color w:val="000000"/>
          <w:szCs w:val="24"/>
        </w:rPr>
      </w:pPr>
    </w:p>
    <w:p>
      <w:pPr>
        <w:spacing w:line="360" w:lineRule="auto"/>
        <w:ind w:firstLine="435"/>
        <w:rPr>
          <w:rFonts w:ascii="宋体" w:hAnsi="宋体"/>
          <w:color w:val="000000"/>
          <w:sz w:val="24"/>
          <w:szCs w:val="24"/>
        </w:rPr>
      </w:pPr>
      <w:r>
        <w:rPr>
          <w:rFonts w:hint="eastAsia" w:ascii="宋体" w:hAnsi="宋体"/>
          <w:color w:val="000000"/>
          <w:sz w:val="24"/>
          <w:szCs w:val="24"/>
        </w:rPr>
        <w:t>我单位同意中标（成交）公告中公示以下主要成交标的并承诺：竞争性磋商响应文件中所提供的主要成交标的均真实有效。若被发现存在任何虚假、隐瞒情况，我单位承担由此产生的一切后果。</w:t>
      </w:r>
    </w:p>
    <w:p>
      <w:pPr>
        <w:tabs>
          <w:tab w:val="left" w:pos="630"/>
        </w:tabs>
        <w:spacing w:line="360" w:lineRule="auto"/>
        <w:ind w:firstLine="630"/>
        <w:rPr>
          <w:rFonts w:ascii="宋体" w:hAnsi="宋体"/>
          <w:color w:val="000000"/>
          <w:sz w:val="24"/>
          <w:szCs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59"/>
        <w:gridCol w:w="2393"/>
        <w:gridCol w:w="1500"/>
        <w:gridCol w:w="158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vAlign w:val="center"/>
          </w:tcPr>
          <w:p>
            <w:pPr>
              <w:widowControl/>
              <w:jc w:val="center"/>
              <w:rPr>
                <w:rFonts w:ascii="宋体" w:hAnsi="宋体"/>
                <w:sz w:val="24"/>
              </w:rPr>
            </w:pPr>
            <w:r>
              <w:rPr>
                <w:rFonts w:hint="eastAsia" w:ascii="宋体" w:hAnsi="宋体"/>
                <w:sz w:val="24"/>
              </w:rPr>
              <w:t>序号</w:t>
            </w:r>
          </w:p>
        </w:tc>
        <w:tc>
          <w:tcPr>
            <w:tcW w:w="1759" w:type="dxa"/>
            <w:vAlign w:val="center"/>
          </w:tcPr>
          <w:p>
            <w:pPr>
              <w:widowControl/>
              <w:jc w:val="center"/>
              <w:rPr>
                <w:rFonts w:ascii="宋体" w:hAnsi="宋体"/>
                <w:sz w:val="24"/>
              </w:rPr>
            </w:pPr>
            <w:r>
              <w:rPr>
                <w:rFonts w:hint="eastAsia" w:ascii="宋体" w:hAnsi="宋体"/>
                <w:sz w:val="24"/>
              </w:rPr>
              <w:t>服务项目名称</w:t>
            </w:r>
          </w:p>
        </w:tc>
        <w:tc>
          <w:tcPr>
            <w:tcW w:w="2393" w:type="dxa"/>
            <w:vAlign w:val="center"/>
          </w:tcPr>
          <w:p>
            <w:pPr>
              <w:widowControl/>
              <w:jc w:val="center"/>
              <w:rPr>
                <w:rFonts w:ascii="宋体" w:hAnsi="宋体"/>
                <w:sz w:val="24"/>
              </w:rPr>
            </w:pPr>
            <w:r>
              <w:rPr>
                <w:rFonts w:hint="eastAsia" w:ascii="宋体" w:hAnsi="宋体"/>
                <w:sz w:val="24"/>
              </w:rPr>
              <w:t>服务要求简述</w:t>
            </w:r>
          </w:p>
        </w:tc>
        <w:tc>
          <w:tcPr>
            <w:tcW w:w="1500" w:type="dxa"/>
            <w:vAlign w:val="center"/>
          </w:tcPr>
          <w:p>
            <w:pPr>
              <w:widowControl/>
              <w:jc w:val="center"/>
              <w:rPr>
                <w:rFonts w:ascii="宋体" w:hAnsi="宋体"/>
                <w:sz w:val="24"/>
              </w:rPr>
            </w:pPr>
            <w:r>
              <w:rPr>
                <w:rFonts w:hint="eastAsia" w:ascii="宋体" w:hAnsi="宋体"/>
                <w:sz w:val="24"/>
              </w:rPr>
              <w:t>数量</w:t>
            </w:r>
          </w:p>
        </w:tc>
        <w:tc>
          <w:tcPr>
            <w:tcW w:w="1582" w:type="dxa"/>
            <w:vAlign w:val="center"/>
          </w:tcPr>
          <w:p>
            <w:pPr>
              <w:widowControl/>
              <w:jc w:val="center"/>
              <w:rPr>
                <w:rFonts w:ascii="宋体" w:hAnsi="宋体"/>
                <w:sz w:val="24"/>
              </w:rPr>
            </w:pPr>
            <w:r>
              <w:rPr>
                <w:rFonts w:hint="eastAsia" w:ascii="宋体" w:hAnsi="宋体"/>
                <w:sz w:val="24"/>
              </w:rPr>
              <w:t>单价</w:t>
            </w:r>
          </w:p>
        </w:tc>
        <w:tc>
          <w:tcPr>
            <w:tcW w:w="927" w:type="dxa"/>
            <w:vAlign w:val="center"/>
          </w:tcPr>
          <w:p>
            <w:pPr>
              <w:widowControl/>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759" w:type="dxa"/>
            <w:vAlign w:val="center"/>
          </w:tcPr>
          <w:p>
            <w:pPr>
              <w:spacing w:line="360" w:lineRule="auto"/>
              <w:rPr>
                <w:rFonts w:ascii="宋体" w:hAnsi="宋体"/>
                <w:color w:val="000000"/>
                <w:sz w:val="24"/>
                <w:szCs w:val="24"/>
              </w:rPr>
            </w:pPr>
          </w:p>
        </w:tc>
        <w:tc>
          <w:tcPr>
            <w:tcW w:w="2393" w:type="dxa"/>
            <w:vAlign w:val="center"/>
          </w:tcPr>
          <w:p>
            <w:pPr>
              <w:spacing w:line="360" w:lineRule="auto"/>
              <w:rPr>
                <w:rFonts w:ascii="宋体" w:hAnsi="宋体"/>
                <w:color w:val="000000"/>
                <w:sz w:val="24"/>
                <w:szCs w:val="24"/>
              </w:rPr>
            </w:pPr>
          </w:p>
        </w:tc>
        <w:tc>
          <w:tcPr>
            <w:tcW w:w="1500" w:type="dxa"/>
            <w:vAlign w:val="center"/>
          </w:tcPr>
          <w:p>
            <w:pPr>
              <w:spacing w:line="360" w:lineRule="auto"/>
              <w:rPr>
                <w:rFonts w:ascii="宋体" w:hAnsi="宋体"/>
                <w:color w:val="000000"/>
                <w:sz w:val="24"/>
                <w:szCs w:val="24"/>
              </w:rPr>
            </w:pPr>
          </w:p>
        </w:tc>
        <w:tc>
          <w:tcPr>
            <w:tcW w:w="1582" w:type="dxa"/>
            <w:vAlign w:val="center"/>
          </w:tcPr>
          <w:p>
            <w:pPr>
              <w:spacing w:line="360" w:lineRule="auto"/>
              <w:rPr>
                <w:rFonts w:ascii="宋体" w:hAnsi="宋体"/>
                <w:color w:val="000000"/>
                <w:sz w:val="24"/>
                <w:szCs w:val="24"/>
              </w:rPr>
            </w:pPr>
          </w:p>
        </w:tc>
        <w:tc>
          <w:tcPr>
            <w:tcW w:w="927"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759" w:type="dxa"/>
            <w:vAlign w:val="center"/>
          </w:tcPr>
          <w:p>
            <w:pPr>
              <w:spacing w:line="360" w:lineRule="auto"/>
              <w:rPr>
                <w:rFonts w:ascii="宋体" w:hAnsi="宋体"/>
                <w:color w:val="000000"/>
                <w:sz w:val="24"/>
                <w:szCs w:val="24"/>
              </w:rPr>
            </w:pPr>
          </w:p>
        </w:tc>
        <w:tc>
          <w:tcPr>
            <w:tcW w:w="2393" w:type="dxa"/>
            <w:vAlign w:val="center"/>
          </w:tcPr>
          <w:p>
            <w:pPr>
              <w:spacing w:line="360" w:lineRule="auto"/>
              <w:rPr>
                <w:rFonts w:ascii="宋体" w:hAnsi="宋体"/>
                <w:color w:val="000000"/>
                <w:sz w:val="24"/>
                <w:szCs w:val="24"/>
              </w:rPr>
            </w:pPr>
          </w:p>
        </w:tc>
        <w:tc>
          <w:tcPr>
            <w:tcW w:w="1500" w:type="dxa"/>
            <w:vAlign w:val="center"/>
          </w:tcPr>
          <w:p>
            <w:pPr>
              <w:spacing w:line="360" w:lineRule="auto"/>
              <w:rPr>
                <w:rFonts w:ascii="宋体" w:hAnsi="宋体"/>
                <w:color w:val="000000"/>
                <w:sz w:val="24"/>
                <w:szCs w:val="24"/>
              </w:rPr>
            </w:pPr>
          </w:p>
        </w:tc>
        <w:tc>
          <w:tcPr>
            <w:tcW w:w="1582" w:type="dxa"/>
            <w:vAlign w:val="center"/>
          </w:tcPr>
          <w:p>
            <w:pPr>
              <w:spacing w:line="360" w:lineRule="auto"/>
              <w:rPr>
                <w:rFonts w:ascii="宋体" w:hAnsi="宋体"/>
                <w:color w:val="000000"/>
                <w:sz w:val="24"/>
                <w:szCs w:val="24"/>
              </w:rPr>
            </w:pPr>
          </w:p>
        </w:tc>
        <w:tc>
          <w:tcPr>
            <w:tcW w:w="927"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1759" w:type="dxa"/>
            <w:vAlign w:val="center"/>
          </w:tcPr>
          <w:p>
            <w:pPr>
              <w:spacing w:line="360" w:lineRule="auto"/>
              <w:rPr>
                <w:rFonts w:ascii="宋体" w:hAnsi="宋体"/>
                <w:color w:val="000000"/>
                <w:sz w:val="24"/>
                <w:szCs w:val="24"/>
              </w:rPr>
            </w:pPr>
          </w:p>
        </w:tc>
        <w:tc>
          <w:tcPr>
            <w:tcW w:w="2393" w:type="dxa"/>
            <w:vAlign w:val="center"/>
          </w:tcPr>
          <w:p>
            <w:pPr>
              <w:spacing w:line="360" w:lineRule="auto"/>
              <w:rPr>
                <w:rFonts w:ascii="宋体" w:hAnsi="宋体"/>
                <w:color w:val="000000"/>
                <w:sz w:val="24"/>
                <w:szCs w:val="24"/>
              </w:rPr>
            </w:pPr>
          </w:p>
        </w:tc>
        <w:tc>
          <w:tcPr>
            <w:tcW w:w="1500" w:type="dxa"/>
            <w:vAlign w:val="center"/>
          </w:tcPr>
          <w:p>
            <w:pPr>
              <w:spacing w:line="360" w:lineRule="auto"/>
              <w:rPr>
                <w:rFonts w:ascii="宋体" w:hAnsi="宋体"/>
                <w:color w:val="000000"/>
                <w:sz w:val="24"/>
                <w:szCs w:val="24"/>
              </w:rPr>
            </w:pPr>
          </w:p>
        </w:tc>
        <w:tc>
          <w:tcPr>
            <w:tcW w:w="1582" w:type="dxa"/>
            <w:vAlign w:val="center"/>
          </w:tcPr>
          <w:p>
            <w:pPr>
              <w:spacing w:line="360" w:lineRule="auto"/>
              <w:rPr>
                <w:rFonts w:ascii="宋体" w:hAnsi="宋体"/>
                <w:color w:val="000000"/>
                <w:sz w:val="24"/>
                <w:szCs w:val="24"/>
              </w:rPr>
            </w:pPr>
          </w:p>
        </w:tc>
        <w:tc>
          <w:tcPr>
            <w:tcW w:w="927"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1759" w:type="dxa"/>
            <w:vAlign w:val="center"/>
          </w:tcPr>
          <w:p>
            <w:pPr>
              <w:spacing w:line="360" w:lineRule="auto"/>
              <w:rPr>
                <w:rFonts w:ascii="宋体" w:hAnsi="宋体"/>
                <w:color w:val="000000"/>
                <w:sz w:val="24"/>
                <w:szCs w:val="24"/>
              </w:rPr>
            </w:pPr>
          </w:p>
        </w:tc>
        <w:tc>
          <w:tcPr>
            <w:tcW w:w="2393" w:type="dxa"/>
            <w:vAlign w:val="center"/>
          </w:tcPr>
          <w:p>
            <w:pPr>
              <w:spacing w:line="360" w:lineRule="auto"/>
              <w:rPr>
                <w:rFonts w:ascii="宋体" w:hAnsi="宋体"/>
                <w:color w:val="000000"/>
                <w:sz w:val="24"/>
                <w:szCs w:val="24"/>
              </w:rPr>
            </w:pPr>
          </w:p>
        </w:tc>
        <w:tc>
          <w:tcPr>
            <w:tcW w:w="1500" w:type="dxa"/>
            <w:vAlign w:val="center"/>
          </w:tcPr>
          <w:p>
            <w:pPr>
              <w:spacing w:line="360" w:lineRule="auto"/>
              <w:rPr>
                <w:rFonts w:ascii="宋体" w:hAnsi="宋体"/>
                <w:color w:val="000000"/>
                <w:sz w:val="24"/>
                <w:szCs w:val="24"/>
              </w:rPr>
            </w:pPr>
          </w:p>
        </w:tc>
        <w:tc>
          <w:tcPr>
            <w:tcW w:w="1582" w:type="dxa"/>
            <w:vAlign w:val="center"/>
          </w:tcPr>
          <w:p>
            <w:pPr>
              <w:spacing w:line="360" w:lineRule="auto"/>
              <w:rPr>
                <w:rFonts w:ascii="宋体" w:hAnsi="宋体"/>
                <w:color w:val="000000"/>
                <w:sz w:val="24"/>
                <w:szCs w:val="24"/>
              </w:rPr>
            </w:pPr>
          </w:p>
        </w:tc>
        <w:tc>
          <w:tcPr>
            <w:tcW w:w="927"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5</w:t>
            </w:r>
          </w:p>
        </w:tc>
        <w:tc>
          <w:tcPr>
            <w:tcW w:w="1759" w:type="dxa"/>
            <w:vAlign w:val="center"/>
          </w:tcPr>
          <w:p>
            <w:pPr>
              <w:spacing w:line="360" w:lineRule="auto"/>
              <w:rPr>
                <w:rFonts w:ascii="宋体" w:hAnsi="宋体"/>
                <w:color w:val="000000"/>
                <w:sz w:val="24"/>
                <w:szCs w:val="24"/>
              </w:rPr>
            </w:pPr>
          </w:p>
        </w:tc>
        <w:tc>
          <w:tcPr>
            <w:tcW w:w="2393" w:type="dxa"/>
            <w:vAlign w:val="center"/>
          </w:tcPr>
          <w:p>
            <w:pPr>
              <w:spacing w:line="360" w:lineRule="auto"/>
              <w:rPr>
                <w:rFonts w:ascii="宋体" w:hAnsi="宋体"/>
                <w:color w:val="000000"/>
                <w:sz w:val="24"/>
                <w:szCs w:val="24"/>
              </w:rPr>
            </w:pPr>
          </w:p>
        </w:tc>
        <w:tc>
          <w:tcPr>
            <w:tcW w:w="1500" w:type="dxa"/>
            <w:vAlign w:val="center"/>
          </w:tcPr>
          <w:p>
            <w:pPr>
              <w:spacing w:line="360" w:lineRule="auto"/>
              <w:rPr>
                <w:rFonts w:ascii="宋体" w:hAnsi="宋体"/>
                <w:color w:val="000000"/>
                <w:sz w:val="24"/>
                <w:szCs w:val="24"/>
              </w:rPr>
            </w:pPr>
          </w:p>
        </w:tc>
        <w:tc>
          <w:tcPr>
            <w:tcW w:w="1582" w:type="dxa"/>
            <w:vAlign w:val="center"/>
          </w:tcPr>
          <w:p>
            <w:pPr>
              <w:spacing w:line="360" w:lineRule="auto"/>
              <w:rPr>
                <w:rFonts w:ascii="宋体" w:hAnsi="宋体"/>
                <w:color w:val="000000"/>
                <w:sz w:val="24"/>
                <w:szCs w:val="24"/>
              </w:rPr>
            </w:pPr>
          </w:p>
        </w:tc>
        <w:tc>
          <w:tcPr>
            <w:tcW w:w="927" w:type="dxa"/>
            <w:vAlign w:val="center"/>
          </w:tcPr>
          <w:p>
            <w:pPr>
              <w:spacing w:line="360" w:lineRule="auto"/>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w:t>
            </w:r>
          </w:p>
        </w:tc>
        <w:tc>
          <w:tcPr>
            <w:tcW w:w="1759" w:type="dxa"/>
            <w:vAlign w:val="center"/>
          </w:tcPr>
          <w:p>
            <w:pPr>
              <w:spacing w:line="360" w:lineRule="auto"/>
              <w:rPr>
                <w:rFonts w:ascii="宋体" w:hAnsi="宋体"/>
                <w:color w:val="000000"/>
                <w:sz w:val="24"/>
                <w:szCs w:val="24"/>
              </w:rPr>
            </w:pPr>
          </w:p>
        </w:tc>
        <w:tc>
          <w:tcPr>
            <w:tcW w:w="2393" w:type="dxa"/>
            <w:vAlign w:val="center"/>
          </w:tcPr>
          <w:p>
            <w:pPr>
              <w:spacing w:line="360" w:lineRule="auto"/>
              <w:rPr>
                <w:rFonts w:ascii="宋体" w:hAnsi="宋体"/>
                <w:color w:val="000000"/>
                <w:sz w:val="24"/>
                <w:szCs w:val="24"/>
              </w:rPr>
            </w:pPr>
          </w:p>
        </w:tc>
        <w:tc>
          <w:tcPr>
            <w:tcW w:w="1500" w:type="dxa"/>
            <w:vAlign w:val="center"/>
          </w:tcPr>
          <w:p>
            <w:pPr>
              <w:spacing w:line="360" w:lineRule="auto"/>
              <w:rPr>
                <w:rFonts w:ascii="宋体" w:hAnsi="宋体"/>
                <w:color w:val="000000"/>
                <w:sz w:val="24"/>
                <w:szCs w:val="24"/>
              </w:rPr>
            </w:pPr>
          </w:p>
        </w:tc>
        <w:tc>
          <w:tcPr>
            <w:tcW w:w="1582" w:type="dxa"/>
            <w:vAlign w:val="center"/>
          </w:tcPr>
          <w:p>
            <w:pPr>
              <w:spacing w:line="360" w:lineRule="auto"/>
              <w:rPr>
                <w:rFonts w:ascii="宋体" w:hAnsi="宋体"/>
                <w:color w:val="000000"/>
                <w:sz w:val="24"/>
                <w:szCs w:val="24"/>
              </w:rPr>
            </w:pPr>
          </w:p>
        </w:tc>
        <w:tc>
          <w:tcPr>
            <w:tcW w:w="927" w:type="dxa"/>
            <w:vAlign w:val="center"/>
          </w:tcPr>
          <w:p>
            <w:pPr>
              <w:spacing w:line="360" w:lineRule="auto"/>
              <w:rPr>
                <w:rFonts w:ascii="宋体" w:hAnsi="宋体"/>
                <w:color w:val="000000"/>
                <w:sz w:val="24"/>
                <w:szCs w:val="24"/>
              </w:rPr>
            </w:pPr>
          </w:p>
        </w:tc>
      </w:tr>
    </w:tbl>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rPr>
      </w:pPr>
      <w:r>
        <w:rPr>
          <w:rFonts w:ascii="宋体" w:hAnsi="宋体"/>
          <w:highlight w:val="white"/>
        </w:rPr>
        <w:t>投标供应商：</w:t>
      </w:r>
      <w:r>
        <w:rPr>
          <w:rFonts w:hint="eastAsia" w:ascii="宋体" w:hAnsi="宋体"/>
          <w:highlight w:val="yellow"/>
        </w:rPr>
        <w:t>(盖单位</w:t>
      </w:r>
      <w:r>
        <w:rPr>
          <w:rFonts w:hint="eastAsia" w:ascii="宋体" w:hAnsi="宋体"/>
          <w:highlight w:val="yellow"/>
          <w:lang w:val="en-US" w:eastAsia="zh-CN"/>
        </w:rPr>
        <w:t>公章</w:t>
      </w:r>
      <w:r>
        <w:rPr>
          <w:rFonts w:hint="eastAsia" w:ascii="宋体" w:hAnsi="宋体"/>
          <w:highlight w:val="yellow"/>
        </w:rPr>
        <w:t>)</w:t>
      </w:r>
    </w:p>
    <w:p>
      <w:pPr>
        <w:adjustRightInd w:val="0"/>
        <w:snapToGrid w:val="0"/>
        <w:spacing w:line="360" w:lineRule="auto"/>
        <w:rPr>
          <w:rFonts w:ascii="宋体" w:hAnsi="宋体"/>
        </w:rPr>
      </w:pPr>
      <w:r>
        <w:rPr>
          <w:rFonts w:ascii="宋体" w:hAnsi="宋体"/>
          <w:highlight w:val="white"/>
        </w:rPr>
        <w:t>法人代表</w:t>
      </w:r>
      <w:r>
        <w:rPr>
          <w:rFonts w:hint="eastAsia" w:ascii="Calibri" w:hAnsi="Calibri"/>
          <w:highlight w:val="yellow"/>
        </w:rPr>
        <w:t>（</w:t>
      </w:r>
      <w:r>
        <w:rPr>
          <w:rFonts w:hint="eastAsia" w:ascii="宋体" w:hAnsi="宋体"/>
          <w:highlight w:val="yellow"/>
          <w:lang w:val="en-US" w:eastAsia="zh-CN"/>
        </w:rPr>
        <w:t>签字或盖章</w:t>
      </w:r>
      <w:r>
        <w:rPr>
          <w:rFonts w:ascii="宋体" w:hAnsi="宋体"/>
          <w:highlight w:val="yellow"/>
        </w:rPr>
        <w:t>）</w:t>
      </w:r>
      <w:r>
        <w:rPr>
          <w:rFonts w:hint="eastAsia" w:ascii="宋体" w:hAnsi="宋体"/>
          <w:highlight w:val="white"/>
        </w:rPr>
        <w:t>：</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sz w:val="24"/>
          <w:szCs w:val="28"/>
        </w:rPr>
      </w:pPr>
      <w:r>
        <w:rPr>
          <w:rFonts w:hint="eastAsia" w:ascii="宋体" w:hAnsi="宋体"/>
          <w:sz w:val="24"/>
          <w:szCs w:val="28"/>
        </w:rPr>
        <w:t>备注：</w:t>
      </w:r>
    </w:p>
    <w:p>
      <w:pPr>
        <w:adjustRightInd w:val="0"/>
        <w:snapToGrid w:val="0"/>
        <w:spacing w:line="360" w:lineRule="auto"/>
        <w:rPr>
          <w:rFonts w:ascii="宋体" w:hAnsi="宋体"/>
          <w:sz w:val="24"/>
          <w:szCs w:val="28"/>
        </w:rPr>
      </w:pPr>
      <w:r>
        <w:rPr>
          <w:rFonts w:hint="eastAsia" w:ascii="宋体" w:hAnsi="宋体"/>
          <w:sz w:val="24"/>
          <w:szCs w:val="28"/>
        </w:rPr>
        <w:t>1、</w:t>
      </w:r>
      <w:r>
        <w:rPr>
          <w:rFonts w:hint="eastAsia" w:ascii="宋体" w:hAnsi="宋体"/>
          <w:sz w:val="24"/>
          <w:szCs w:val="24"/>
        </w:rPr>
        <w:t>表中所列内容应符合竞争性磋商文件就相关要求，且主要成交标的必须包括核心服务项目</w:t>
      </w:r>
      <w:r>
        <w:rPr>
          <w:rFonts w:hint="eastAsia" w:ascii="宋体" w:hAnsi="宋体"/>
          <w:sz w:val="24"/>
          <w:szCs w:val="28"/>
        </w:rPr>
        <w:t>；</w:t>
      </w:r>
    </w:p>
    <w:p>
      <w:pPr>
        <w:adjustRightInd w:val="0"/>
        <w:snapToGrid w:val="0"/>
        <w:spacing w:line="360" w:lineRule="auto"/>
        <w:rPr>
          <w:rFonts w:ascii="宋体" w:hAnsi="宋体"/>
          <w:sz w:val="24"/>
          <w:szCs w:val="24"/>
        </w:rPr>
      </w:pPr>
      <w:r>
        <w:rPr>
          <w:rFonts w:hint="eastAsia" w:ascii="宋体" w:hAnsi="宋体"/>
          <w:sz w:val="24"/>
          <w:szCs w:val="28"/>
        </w:rPr>
        <w:t>2、</w:t>
      </w:r>
      <w:r>
        <w:rPr>
          <w:rFonts w:hint="eastAsia" w:ascii="宋体" w:hAnsi="宋体"/>
          <w:sz w:val="24"/>
          <w:szCs w:val="24"/>
        </w:rPr>
        <w:t>成交供应商提供的以上承诺情况（含服务项目</w:t>
      </w:r>
      <w:r>
        <w:rPr>
          <w:rFonts w:hint="eastAsia" w:ascii="宋体" w:hAnsi="宋体"/>
          <w:sz w:val="24"/>
        </w:rPr>
        <w:t>名称、服务要求简述、数量、单价等</w:t>
      </w:r>
      <w:r>
        <w:rPr>
          <w:rFonts w:hint="eastAsia" w:ascii="宋体" w:hAnsi="宋体"/>
          <w:sz w:val="24"/>
          <w:szCs w:val="24"/>
        </w:rPr>
        <w:t>），经评</w:t>
      </w:r>
      <w:r>
        <w:rPr>
          <w:rFonts w:ascii="宋体" w:hAnsi="宋体"/>
          <w:sz w:val="24"/>
          <w:szCs w:val="24"/>
        </w:rPr>
        <w:t>标委员会</w:t>
      </w:r>
      <w:r>
        <w:rPr>
          <w:rFonts w:hint="eastAsia" w:ascii="宋体" w:hAnsi="宋体"/>
          <w:sz w:val="24"/>
          <w:szCs w:val="24"/>
        </w:rPr>
        <w:t>确认后，将按约定随评审结果公告。</w:t>
      </w:r>
    </w:p>
    <w:p>
      <w:pPr>
        <w:spacing w:before="240" w:after="480" w:line="276" w:lineRule="auto"/>
        <w:rPr>
          <w:rFonts w:ascii="宋体" w:hAnsi="宋体"/>
          <w:sz w:val="24"/>
        </w:rPr>
      </w:pPr>
    </w:p>
    <w:p>
      <w:pPr>
        <w:spacing w:before="240" w:after="480" w:line="276" w:lineRule="auto"/>
        <w:jc w:val="center"/>
        <w:rPr>
          <w:rFonts w:ascii="宋体" w:hAnsi="宋体"/>
          <w:b/>
          <w:sz w:val="24"/>
        </w:rPr>
      </w:pPr>
      <w:r>
        <w:rPr>
          <w:rFonts w:hint="eastAsia" w:ascii="宋体" w:hAnsi="宋体"/>
          <w:b/>
          <w:sz w:val="24"/>
        </w:rPr>
        <w:t>六、实施方案</w:t>
      </w:r>
    </w:p>
    <w:p>
      <w:pPr>
        <w:autoSpaceDE w:val="0"/>
        <w:autoSpaceDN w:val="0"/>
        <w:adjustRightInd w:val="0"/>
        <w:spacing w:line="276" w:lineRule="auto"/>
        <w:jc w:val="center"/>
        <w:rPr>
          <w:rFonts w:ascii="宋体" w:hAnsi="宋体"/>
          <w:sz w:val="24"/>
        </w:rPr>
      </w:pPr>
      <w:r>
        <w:rPr>
          <w:rFonts w:hint="eastAsia" w:ascii="宋体" w:hAnsi="宋体"/>
          <w:sz w:val="24"/>
        </w:rPr>
        <w:t>（磋商供应商根据本项目情况和企业实际自行编制）</w:t>
      </w:r>
    </w:p>
    <w:p>
      <w:pPr>
        <w:spacing w:line="276" w:lineRule="auto"/>
        <w:ind w:right="57" w:firstLine="480" w:firstLineChars="200"/>
        <w:jc w:val="left"/>
        <w:rPr>
          <w:rFonts w:ascii="宋体" w:hAnsi="宋体"/>
          <w:sz w:val="24"/>
        </w:rPr>
      </w:pPr>
    </w:p>
    <w:p>
      <w:pPr>
        <w:spacing w:line="276" w:lineRule="auto"/>
        <w:ind w:right="57" w:firstLine="480" w:firstLineChars="200"/>
        <w:jc w:val="left"/>
        <w:rPr>
          <w:rFonts w:ascii="宋体" w:hAnsi="宋体"/>
          <w:sz w:val="24"/>
        </w:rPr>
      </w:pPr>
    </w:p>
    <w:p>
      <w:pPr>
        <w:spacing w:line="276" w:lineRule="auto"/>
        <w:ind w:right="57" w:firstLine="480" w:firstLineChars="200"/>
        <w:jc w:val="left"/>
        <w:rPr>
          <w:rFonts w:ascii="宋体" w:hAnsi="宋体"/>
          <w:sz w:val="24"/>
        </w:rPr>
      </w:pPr>
    </w:p>
    <w:p>
      <w:pPr>
        <w:spacing w:line="276" w:lineRule="auto"/>
        <w:ind w:right="57" w:firstLine="482" w:firstLineChars="200"/>
        <w:jc w:val="center"/>
        <w:rPr>
          <w:rFonts w:ascii="宋体" w:hAnsi="宋体"/>
          <w:b/>
          <w:sz w:val="24"/>
        </w:rPr>
      </w:pPr>
    </w:p>
    <w:p>
      <w:pPr>
        <w:spacing w:line="276" w:lineRule="auto"/>
        <w:ind w:right="57" w:firstLine="482" w:firstLineChars="200"/>
        <w:jc w:val="center"/>
        <w:rPr>
          <w:rFonts w:ascii="宋体" w:hAnsi="宋体"/>
          <w:b/>
          <w:sz w:val="24"/>
        </w:rPr>
      </w:pPr>
      <w:r>
        <w:rPr>
          <w:rFonts w:hint="eastAsia" w:ascii="宋体" w:hAnsi="宋体"/>
          <w:b/>
          <w:sz w:val="24"/>
        </w:rPr>
        <w:t>七、磋商供应商应提供的各类资格及证明材料</w:t>
      </w:r>
    </w:p>
    <w:p>
      <w:pPr>
        <w:spacing w:line="276" w:lineRule="auto"/>
        <w:ind w:right="57" w:firstLine="482" w:firstLineChars="200"/>
        <w:jc w:val="center"/>
        <w:rPr>
          <w:rFonts w:ascii="宋体" w:hAnsi="宋体"/>
          <w:b/>
          <w:sz w:val="24"/>
        </w:rPr>
      </w:pPr>
    </w:p>
    <w:p>
      <w:pPr>
        <w:spacing w:line="276" w:lineRule="auto"/>
        <w:ind w:right="57" w:firstLine="482" w:firstLineChars="200"/>
        <w:jc w:val="center"/>
        <w:rPr>
          <w:rFonts w:ascii="宋体" w:hAnsi="宋体"/>
          <w:b/>
          <w:sz w:val="24"/>
        </w:rPr>
      </w:pPr>
    </w:p>
    <w:p>
      <w:pPr>
        <w:spacing w:line="276" w:lineRule="auto"/>
        <w:ind w:right="57" w:firstLine="482" w:firstLineChars="200"/>
        <w:jc w:val="center"/>
        <w:rPr>
          <w:rFonts w:ascii="宋体" w:hAnsi="宋体"/>
          <w:b/>
          <w:sz w:val="24"/>
        </w:rPr>
      </w:pPr>
    </w:p>
    <w:p>
      <w:pPr>
        <w:spacing w:line="276" w:lineRule="auto"/>
        <w:ind w:right="57"/>
        <w:jc w:val="center"/>
        <w:rPr>
          <w:rFonts w:ascii="宋体" w:hAnsi="宋体"/>
          <w:b/>
          <w:sz w:val="24"/>
        </w:rPr>
      </w:pPr>
    </w:p>
    <w:p>
      <w:pPr>
        <w:spacing w:line="276" w:lineRule="auto"/>
        <w:ind w:right="57"/>
        <w:jc w:val="center"/>
        <w:rPr>
          <w:rFonts w:ascii="宋体" w:hAnsi="宋体"/>
          <w:b/>
          <w:sz w:val="24"/>
        </w:rPr>
      </w:pPr>
      <w:r>
        <w:rPr>
          <w:rFonts w:hint="eastAsia" w:ascii="宋体" w:hAnsi="宋体"/>
          <w:b/>
          <w:sz w:val="24"/>
        </w:rPr>
        <w:t>八、竞争性磋商文件要求磋商供应商提供的或磋商供应商认为需要提供的其它内容</w:t>
      </w:r>
    </w:p>
    <w:p>
      <w:pPr>
        <w:pStyle w:val="22"/>
        <w:spacing w:line="276" w:lineRule="auto"/>
      </w:pPr>
    </w:p>
    <w:p>
      <w:pPr>
        <w:pStyle w:val="22"/>
        <w:spacing w:line="276" w:lineRule="auto"/>
      </w:pPr>
    </w:p>
    <w:p>
      <w:pPr>
        <w:pStyle w:val="22"/>
        <w:spacing w:line="276" w:lineRule="auto"/>
      </w:pPr>
    </w:p>
    <w:p>
      <w:pPr>
        <w:widowControl/>
        <w:spacing w:line="276" w:lineRule="auto"/>
        <w:ind w:left="180"/>
        <w:jc w:val="center"/>
        <w:rPr>
          <w:rFonts w:ascii="宋体" w:hAnsi="宋体"/>
          <w:b/>
          <w:color w:val="000000"/>
          <w:sz w:val="24"/>
        </w:rPr>
      </w:pPr>
      <w:r>
        <w:rPr>
          <w:rFonts w:ascii="宋体" w:hAnsi="宋体"/>
          <w:color w:val="000000"/>
          <w:sz w:val="24"/>
          <w:highlight w:val="white"/>
        </w:rPr>
        <w:br w:type="page"/>
      </w:r>
      <w:r>
        <w:rPr>
          <w:rFonts w:hint="eastAsia" w:ascii="宋体" w:hAnsi="宋体"/>
          <w:color w:val="000000"/>
          <w:sz w:val="24"/>
          <w:highlight w:val="white"/>
        </w:rPr>
        <w:t>九、</w:t>
      </w:r>
      <w:r>
        <w:rPr>
          <w:rFonts w:hint="eastAsia" w:ascii="宋体" w:hAnsi="宋体"/>
          <w:b/>
          <w:color w:val="000000"/>
          <w:sz w:val="24"/>
          <w:highlight w:val="white"/>
        </w:rPr>
        <w:t>答疑（或补疑）回复签收回执（格式）</w:t>
      </w:r>
    </w:p>
    <w:p>
      <w:pPr>
        <w:spacing w:line="276" w:lineRule="auto"/>
        <w:rPr>
          <w:rFonts w:ascii="宋体" w:hAnsi="宋体"/>
          <w:sz w:val="24"/>
        </w:rPr>
      </w:pPr>
    </w:p>
    <w:p>
      <w:pPr>
        <w:spacing w:line="276" w:lineRule="auto"/>
        <w:rPr>
          <w:rFonts w:ascii="宋体" w:hAnsi="宋体"/>
          <w:sz w:val="24"/>
        </w:rPr>
      </w:pPr>
      <w:r>
        <w:rPr>
          <w:rFonts w:hint="eastAsia" w:ascii="宋体" w:hAnsi="宋体"/>
          <w:sz w:val="24"/>
          <w:highlight w:val="white"/>
        </w:rPr>
        <w:t>致</w:t>
      </w:r>
      <w:r>
        <w:rPr>
          <w:rFonts w:hint="eastAsia" w:ascii="宋体" w:hAnsi="宋体" w:cs="Arial"/>
          <w:sz w:val="24"/>
          <w:highlight w:val="white"/>
        </w:rPr>
        <w:t>（代理机构）</w:t>
      </w:r>
      <w:r>
        <w:rPr>
          <w:rFonts w:hint="eastAsia" w:ascii="宋体" w:hAnsi="宋体"/>
          <w:sz w:val="24"/>
          <w:highlight w:val="white"/>
        </w:rPr>
        <w:t>：</w:t>
      </w:r>
    </w:p>
    <w:p>
      <w:pPr>
        <w:spacing w:line="276" w:lineRule="auto"/>
        <w:ind w:firstLine="480" w:firstLineChars="200"/>
        <w:rPr>
          <w:rFonts w:ascii="宋体" w:hAnsi="宋体"/>
          <w:color w:val="000000"/>
          <w:sz w:val="24"/>
        </w:rPr>
      </w:pPr>
      <w:r>
        <w:rPr>
          <w:rFonts w:hint="eastAsia" w:ascii="宋体" w:hAnsi="宋体"/>
          <w:color w:val="000000"/>
          <w:sz w:val="24"/>
          <w:highlight w:val="white"/>
        </w:rPr>
        <w:t>我单位已于年 月日上网获知（或委派代表前来领取）你处对本项目的答疑回复（或磋商补充文件）。</w:t>
      </w:r>
    </w:p>
    <w:p>
      <w:pPr>
        <w:spacing w:line="276" w:lineRule="auto"/>
        <w:ind w:firstLine="480" w:firstLineChars="200"/>
        <w:rPr>
          <w:rFonts w:ascii="宋体" w:hAnsi="宋体"/>
          <w:color w:val="000000"/>
          <w:sz w:val="24"/>
        </w:rPr>
      </w:pPr>
      <w:r>
        <w:rPr>
          <w:rFonts w:hint="eastAsia" w:ascii="宋体" w:hAnsi="宋体"/>
          <w:color w:val="000000"/>
          <w:sz w:val="24"/>
          <w:highlight w:val="white"/>
        </w:rPr>
        <w:t>特回函确认。</w:t>
      </w:r>
    </w:p>
    <w:p>
      <w:pPr>
        <w:spacing w:line="276" w:lineRule="auto"/>
        <w:jc w:val="right"/>
        <w:rPr>
          <w:rFonts w:ascii="宋体" w:hAnsi="宋体"/>
          <w:color w:val="000000"/>
          <w:sz w:val="24"/>
        </w:rPr>
      </w:pPr>
    </w:p>
    <w:p>
      <w:pPr>
        <w:adjustRightInd w:val="0"/>
        <w:snapToGrid w:val="0"/>
        <w:spacing w:line="360" w:lineRule="auto"/>
        <w:jc w:val="right"/>
        <w:rPr>
          <w:rFonts w:ascii="宋体" w:hAnsi="宋体"/>
          <w:highlight w:val="yellow"/>
        </w:rPr>
      </w:pPr>
      <w:r>
        <w:rPr>
          <w:rFonts w:ascii="宋体" w:hAnsi="宋体"/>
          <w:highlight w:val="white"/>
        </w:rPr>
        <w:t>投标供应商：</w:t>
      </w:r>
      <w:r>
        <w:rPr>
          <w:rFonts w:hint="eastAsia" w:ascii="宋体" w:hAnsi="宋体"/>
          <w:highlight w:val="yellow"/>
        </w:rPr>
        <w:t>(盖单位</w:t>
      </w:r>
      <w:r>
        <w:rPr>
          <w:rFonts w:hint="eastAsia" w:ascii="宋体" w:hAnsi="宋体"/>
          <w:highlight w:val="yellow"/>
          <w:lang w:val="en-US" w:eastAsia="zh-CN"/>
        </w:rPr>
        <w:t>公章</w:t>
      </w:r>
      <w:r>
        <w:rPr>
          <w:rFonts w:hint="eastAsia" w:ascii="宋体" w:hAnsi="宋体"/>
          <w:highlight w:val="yellow"/>
        </w:rPr>
        <w:t>)</w:t>
      </w:r>
    </w:p>
    <w:p>
      <w:pPr>
        <w:adjustRightInd w:val="0"/>
        <w:snapToGrid w:val="0"/>
        <w:spacing w:line="360" w:lineRule="auto"/>
        <w:jc w:val="right"/>
        <w:rPr>
          <w:rFonts w:ascii="宋体" w:hAnsi="宋体"/>
        </w:rPr>
      </w:pPr>
      <w:r>
        <w:rPr>
          <w:rFonts w:ascii="宋体" w:hAnsi="宋体"/>
          <w:highlight w:val="white"/>
        </w:rPr>
        <w:t>法人代表</w:t>
      </w:r>
      <w:r>
        <w:rPr>
          <w:rFonts w:hint="eastAsia" w:ascii="Calibri" w:hAnsi="Calibri"/>
          <w:highlight w:val="yellow"/>
        </w:rPr>
        <w:t>（</w:t>
      </w:r>
      <w:r>
        <w:rPr>
          <w:rFonts w:hint="eastAsia" w:ascii="宋体" w:hAnsi="宋体"/>
          <w:highlight w:val="yellow"/>
          <w:lang w:val="en-US" w:eastAsia="zh-CN"/>
        </w:rPr>
        <w:t>签字或盖章</w:t>
      </w:r>
      <w:r>
        <w:rPr>
          <w:rFonts w:ascii="宋体" w:hAnsi="宋体"/>
          <w:highlight w:val="yellow"/>
        </w:rPr>
        <w:t>）</w:t>
      </w:r>
      <w:r>
        <w:rPr>
          <w:rFonts w:hint="eastAsia" w:ascii="宋体" w:hAnsi="宋体"/>
          <w:highlight w:val="white"/>
        </w:rPr>
        <w:t>：</w:t>
      </w:r>
    </w:p>
    <w:p>
      <w:pPr>
        <w:wordWrap w:val="0"/>
        <w:spacing w:line="276" w:lineRule="auto"/>
        <w:ind w:right="620"/>
        <w:jc w:val="right"/>
        <w:rPr>
          <w:rFonts w:ascii="宋体" w:hAnsi="宋体"/>
          <w:color w:val="000000"/>
          <w:sz w:val="24"/>
          <w:highlight w:val="white"/>
        </w:rPr>
      </w:pPr>
    </w:p>
    <w:p>
      <w:pPr>
        <w:spacing w:line="276" w:lineRule="auto"/>
        <w:ind w:right="480"/>
        <w:jc w:val="right"/>
        <w:rPr>
          <w:rFonts w:ascii="宋体" w:hAnsi="宋体"/>
          <w:color w:val="000000"/>
          <w:sz w:val="24"/>
        </w:rPr>
      </w:pPr>
      <w:r>
        <w:rPr>
          <w:rFonts w:hint="eastAsia" w:ascii="宋体" w:hAnsi="宋体"/>
          <w:color w:val="000000"/>
          <w:sz w:val="24"/>
          <w:highlight w:val="white"/>
        </w:rPr>
        <w:t>年    月    日</w:t>
      </w:r>
    </w:p>
    <w:p>
      <w:pPr>
        <w:spacing w:line="276" w:lineRule="auto"/>
        <w:ind w:right="480"/>
        <w:jc w:val="right"/>
        <w:rPr>
          <w:rFonts w:ascii="宋体" w:hAnsi="宋体"/>
          <w:color w:val="000000"/>
          <w:sz w:val="24"/>
        </w:rPr>
      </w:pPr>
    </w:p>
    <w:p>
      <w:pPr>
        <w:spacing w:line="276" w:lineRule="auto"/>
        <w:ind w:right="480"/>
        <w:jc w:val="right"/>
        <w:rPr>
          <w:rFonts w:ascii="宋体" w:hAnsi="宋体"/>
          <w:color w:val="000000"/>
          <w:sz w:val="24"/>
        </w:rPr>
      </w:pPr>
    </w:p>
    <w:p>
      <w:pPr>
        <w:spacing w:line="276" w:lineRule="auto"/>
        <w:ind w:right="480"/>
        <w:jc w:val="center"/>
        <w:rPr>
          <w:rFonts w:ascii="宋体" w:hAnsi="宋体"/>
          <w:b/>
          <w:color w:val="000000"/>
          <w:sz w:val="24"/>
        </w:rPr>
      </w:pPr>
      <w:r>
        <w:rPr>
          <w:rFonts w:hint="eastAsia" w:ascii="宋体" w:hAnsi="宋体"/>
          <w:b/>
          <w:sz w:val="24"/>
        </w:rPr>
        <w:t>十、供应商应提供的各类资格及证明材料</w:t>
      </w:r>
      <w:r>
        <w:rPr>
          <w:rFonts w:hint="eastAsia" w:ascii="宋体" w:hAnsi="宋体"/>
          <w:b/>
          <w:color w:val="000000"/>
          <w:sz w:val="24"/>
          <w:highlight w:val="white"/>
        </w:rPr>
        <w:t>（格式）</w:t>
      </w:r>
    </w:p>
    <w:p>
      <w:pPr>
        <w:spacing w:line="276" w:lineRule="auto"/>
        <w:jc w:val="center"/>
        <w:rPr>
          <w:rFonts w:ascii="宋体" w:hAnsi="宋体"/>
          <w:color w:val="000000"/>
          <w:sz w:val="24"/>
        </w:rPr>
      </w:pPr>
    </w:p>
    <w:p>
      <w:pPr>
        <w:spacing w:line="276" w:lineRule="auto"/>
        <w:ind w:firstLine="480" w:firstLineChars="200"/>
        <w:rPr>
          <w:rFonts w:ascii="宋体" w:hAnsi="宋体"/>
          <w:sz w:val="24"/>
          <w:highlight w:val="white"/>
        </w:rPr>
      </w:pPr>
      <w:r>
        <w:rPr>
          <w:rFonts w:hint="eastAsia" w:ascii="宋体" w:hAnsi="宋体"/>
          <w:sz w:val="24"/>
          <w:highlight w:val="white"/>
        </w:rPr>
        <w:t>参加磋商的供应商在响应文件中至少须提供以下证明材料：</w:t>
      </w:r>
    </w:p>
    <w:p>
      <w:pPr>
        <w:spacing w:line="276" w:lineRule="auto"/>
        <w:ind w:firstLine="480" w:firstLineChars="200"/>
        <w:rPr>
          <w:rFonts w:ascii="宋体" w:hAnsi="宋体"/>
          <w:sz w:val="24"/>
        </w:rPr>
      </w:pPr>
      <w:r>
        <w:rPr>
          <w:rFonts w:hint="eastAsia" w:ascii="宋体" w:hAnsi="宋体"/>
          <w:sz w:val="24"/>
          <w:highlight w:val="white"/>
        </w:rPr>
        <w:t>1、营业执照副本复印件(须加盖供应商公章)</w:t>
      </w:r>
    </w:p>
    <w:p>
      <w:pPr>
        <w:spacing w:line="276" w:lineRule="auto"/>
        <w:ind w:firstLine="480" w:firstLineChars="200"/>
        <w:rPr>
          <w:rFonts w:ascii="宋体" w:hAnsi="宋体"/>
          <w:sz w:val="24"/>
          <w:highlight w:val="white"/>
        </w:rPr>
      </w:pPr>
      <w:r>
        <w:rPr>
          <w:rFonts w:hint="eastAsia" w:ascii="宋体" w:hAnsi="宋体"/>
          <w:sz w:val="24"/>
          <w:highlight w:val="white"/>
        </w:rPr>
        <w:t>2、法定代表人证明或授权委托书</w:t>
      </w:r>
    </w:p>
    <w:p>
      <w:pPr>
        <w:spacing w:line="276" w:lineRule="auto"/>
        <w:ind w:firstLine="480" w:firstLineChars="200"/>
        <w:rPr>
          <w:rFonts w:ascii="宋体" w:hAnsi="宋体"/>
          <w:sz w:val="24"/>
        </w:rPr>
      </w:pPr>
      <w:r>
        <w:rPr>
          <w:rFonts w:hint="eastAsia" w:ascii="宋体" w:hAnsi="宋体"/>
          <w:sz w:val="24"/>
          <w:highlight w:val="white"/>
        </w:rPr>
        <w:t>3、竞争性磋商文件要求供应商提供的或供应商认为需要提供的其它内容</w:t>
      </w:r>
    </w:p>
    <w:p>
      <w:pPr>
        <w:spacing w:line="276" w:lineRule="auto"/>
        <w:rPr>
          <w:rFonts w:ascii="宋体" w:hAnsi="宋体"/>
          <w:sz w:val="24"/>
        </w:rPr>
      </w:pPr>
    </w:p>
    <w:p>
      <w:pPr>
        <w:spacing w:line="276" w:lineRule="auto"/>
        <w:rPr>
          <w:rFonts w:ascii="宋体" w:hAnsi="宋体"/>
          <w:sz w:val="24"/>
        </w:rPr>
      </w:pPr>
    </w:p>
    <w:p>
      <w:pPr>
        <w:rPr>
          <w:rFonts w:ascii="宋体" w:hAnsi="宋体"/>
        </w:rPr>
      </w:pPr>
    </w:p>
    <w:p>
      <w:pPr>
        <w:rPr>
          <w:rFonts w:ascii="宋体" w:hAnsi="宋体"/>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pStyle w:val="5"/>
        <w:rPr>
          <w:rFonts w:ascii="宋体" w:hAnsi="宋体" w:cs="宋体"/>
          <w:bCs w:val="0"/>
          <w:highlight w:val="white"/>
        </w:rPr>
      </w:pPr>
      <w:r>
        <w:rPr>
          <w:rFonts w:hint="eastAsia" w:ascii="宋体" w:hAnsi="宋体" w:cs="宋体"/>
          <w:bCs w:val="0"/>
        </w:rPr>
        <w:t>享受政府采购优惠政策证明材料（如有）</w:t>
      </w:r>
    </w:p>
    <w:p>
      <w:pPr>
        <w:widowControl/>
        <w:shd w:val="clear" w:color="auto" w:fill="FFFFFF"/>
        <w:spacing w:before="300" w:after="225" w:line="360" w:lineRule="atLeast"/>
        <w:jc w:val="center"/>
        <w:rPr>
          <w:b/>
          <w:bCs/>
          <w:sz w:val="32"/>
          <w:szCs w:val="32"/>
        </w:rPr>
      </w:pPr>
      <w:r>
        <w:rPr>
          <w:rFonts w:hint="eastAsia"/>
          <w:b/>
          <w:bCs/>
          <w:sz w:val="32"/>
          <w:szCs w:val="32"/>
        </w:rPr>
        <w:t>（一）中小企业产品投标声明函</w:t>
      </w:r>
    </w:p>
    <w:p>
      <w:pPr>
        <w:widowControl/>
        <w:shd w:val="clear" w:color="auto" w:fill="FFFFFF"/>
        <w:spacing w:before="300" w:after="225" w:line="360" w:lineRule="atLeast"/>
        <w:jc w:val="center"/>
      </w:pPr>
      <w:r>
        <w:rPr>
          <w:rFonts w:hint="eastAsia"/>
          <w:b/>
          <w:bCs/>
          <w:sz w:val="32"/>
          <w:szCs w:val="32"/>
        </w:rPr>
        <w:t>（非中小企业产品投标，不需提供）</w:t>
      </w:r>
    </w:p>
    <w:p>
      <w:pPr>
        <w:autoSpaceDE w:val="0"/>
        <w:autoSpaceDN w:val="0"/>
        <w:spacing w:line="480" w:lineRule="auto"/>
        <w:ind w:left="80" w:leftChars="38" w:right="40" w:firstLine="480" w:firstLineChars="200"/>
        <w:rPr>
          <w:rFonts w:ascii="宋体"/>
          <w:sz w:val="24"/>
          <w:lang w:val="zh-CN"/>
        </w:rPr>
      </w:pPr>
      <w:r>
        <w:rPr>
          <w:rFonts w:hint="eastAsia" w:ascii="宋体" w:hAnsi="宋体"/>
          <w:sz w:val="24"/>
          <w:lang w:val="zh-CN"/>
        </w:rPr>
        <w:t>本单位郑重声明，根据《政府采购促进中小企业发展暂行办法》（财库〔</w:t>
      </w:r>
      <w:r>
        <w:rPr>
          <w:rFonts w:ascii="宋体" w:hAnsi="宋体"/>
          <w:sz w:val="24"/>
          <w:lang w:val="zh-CN"/>
        </w:rPr>
        <w:t>2011</w:t>
      </w:r>
      <w:r>
        <w:rPr>
          <w:rFonts w:hint="eastAsia" w:ascii="宋体" w:hAnsi="宋体"/>
          <w:sz w:val="24"/>
          <w:lang w:val="zh-CN"/>
        </w:rPr>
        <w:t>〕</w:t>
      </w:r>
      <w:r>
        <w:rPr>
          <w:rFonts w:ascii="宋体" w:hAnsi="宋体"/>
          <w:sz w:val="24"/>
          <w:lang w:val="zh-CN"/>
        </w:rPr>
        <w:t>181</w:t>
      </w:r>
      <w:r>
        <w:rPr>
          <w:rFonts w:hint="eastAsia" w:ascii="宋体" w:hAnsi="宋体"/>
          <w:sz w:val="24"/>
          <w:lang w:val="zh-CN"/>
        </w:rPr>
        <w:t>号）的规定，本单位参加</w:t>
      </w:r>
      <w:r>
        <w:rPr>
          <w:rFonts w:hint="eastAsia" w:hAnsi="宋体"/>
          <w:b/>
          <w:sz w:val="24"/>
          <w:szCs w:val="28"/>
          <w:u w:val="single"/>
        </w:rPr>
        <w:t>项目名称</w:t>
      </w:r>
      <w:r>
        <w:rPr>
          <w:rFonts w:hint="eastAsia" w:hAnsi="宋体"/>
          <w:bCs/>
          <w:sz w:val="24"/>
          <w:szCs w:val="28"/>
        </w:rPr>
        <w:t>采购活动（项目编号：），</w:t>
      </w:r>
      <w:r>
        <w:rPr>
          <w:rFonts w:hint="eastAsia" w:ascii="宋体" w:hAnsi="宋体"/>
          <w:sz w:val="24"/>
          <w:lang w:val="zh-CN"/>
        </w:rPr>
        <w:t>同意中标公告中公示以下内容并承诺：</w:t>
      </w:r>
      <w:r>
        <w:rPr>
          <w:rFonts w:hint="eastAsia" w:ascii="宋体" w:hAnsi="宋体"/>
          <w:b/>
          <w:color w:val="000000"/>
          <w:sz w:val="24"/>
          <w:lang w:val="zh-CN"/>
        </w:rPr>
        <w:t>本单位竞争性磋商响应文件中所提供的以下部分产</w:t>
      </w:r>
      <w:r>
        <w:rPr>
          <w:rFonts w:hint="eastAsia" w:ascii="宋体" w:hAnsi="宋体"/>
          <w:b/>
          <w:sz w:val="24"/>
          <w:lang w:val="zh-CN"/>
        </w:rPr>
        <w:t>品为中型、小型、微型企业生产的产品</w:t>
      </w:r>
      <w:r>
        <w:rPr>
          <w:rFonts w:hint="eastAsia" w:ascii="宋体" w:hAnsi="宋体"/>
          <w:b/>
          <w:sz w:val="24"/>
        </w:rPr>
        <w:t>，</w:t>
      </w:r>
      <w:r>
        <w:rPr>
          <w:rFonts w:hint="eastAsia" w:ascii="宋体" w:hAnsi="宋体"/>
          <w:b/>
          <w:sz w:val="24"/>
          <w:lang w:val="zh-CN"/>
        </w:rPr>
        <w:t>若被发现存在任何虚假、隐瞒情况，我单位承担由此产生的一切后果</w:t>
      </w:r>
      <w:r>
        <w:rPr>
          <w:rFonts w:hint="eastAsia" w:ascii="宋体" w:hAnsi="宋体"/>
          <w:sz w:val="24"/>
          <w:lang w:val="zh-CN"/>
        </w:rPr>
        <w:t>。</w:t>
      </w:r>
    </w:p>
    <w:p>
      <w:pPr>
        <w:tabs>
          <w:tab w:val="left" w:pos="4620"/>
        </w:tabs>
        <w:spacing w:line="360" w:lineRule="auto"/>
        <w:ind w:firstLine="600" w:firstLineChars="250"/>
        <w:rPr>
          <w:rFonts w:ascii="宋体"/>
          <w:sz w:val="24"/>
        </w:rPr>
      </w:pPr>
      <w:r>
        <w:rPr>
          <w:rFonts w:hint="eastAsia" w:ascii="宋体" w:hAnsi="宋体"/>
          <w:sz w:val="24"/>
          <w:lang w:val="zh-CN"/>
        </w:rPr>
        <w:t>本单位对上述声明的真实性负责。如有虚假，将依法承担相应责任。</w:t>
      </w:r>
    </w:p>
    <w:p>
      <w:pPr>
        <w:tabs>
          <w:tab w:val="left" w:pos="4620"/>
        </w:tabs>
        <w:spacing w:line="360" w:lineRule="auto"/>
        <w:rPr>
          <w:color w:val="000000"/>
          <w:sz w:val="24"/>
        </w:rPr>
      </w:pPr>
      <w:r>
        <w:rPr>
          <w:rFonts w:hint="eastAsia" w:ascii="宋体" w:hAnsi="宋体"/>
          <w:color w:val="000000"/>
          <w:sz w:val="24"/>
        </w:rPr>
        <w:t>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29"/>
        <w:gridCol w:w="610"/>
        <w:gridCol w:w="1099"/>
        <w:gridCol w:w="1098"/>
        <w:gridCol w:w="1132"/>
        <w:gridCol w:w="1322"/>
        <w:gridCol w:w="85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jc w:val="center"/>
              <w:rPr>
                <w:rFonts w:ascii="宋体" w:hAnsi="宋体"/>
                <w:color w:val="000000"/>
                <w:sz w:val="24"/>
              </w:rPr>
            </w:pPr>
            <w:r>
              <w:rPr>
                <w:rFonts w:hint="eastAsia" w:ascii="宋体" w:hAnsi="宋体"/>
                <w:color w:val="000000"/>
                <w:sz w:val="24"/>
              </w:rPr>
              <w:t>序号</w:t>
            </w:r>
          </w:p>
        </w:tc>
        <w:tc>
          <w:tcPr>
            <w:tcW w:w="1829" w:type="dxa"/>
            <w:vAlign w:val="center"/>
          </w:tcPr>
          <w:p>
            <w:pPr>
              <w:jc w:val="center"/>
              <w:rPr>
                <w:rFonts w:ascii="宋体" w:hAnsi="宋体"/>
                <w:color w:val="000000"/>
                <w:sz w:val="24"/>
              </w:rPr>
            </w:pPr>
            <w:r>
              <w:rPr>
                <w:rFonts w:hint="eastAsia" w:ascii="宋体" w:hAnsi="宋体"/>
                <w:color w:val="000000"/>
                <w:sz w:val="24"/>
              </w:rPr>
              <w:t>品名</w:t>
            </w:r>
          </w:p>
        </w:tc>
        <w:tc>
          <w:tcPr>
            <w:tcW w:w="610" w:type="dxa"/>
            <w:vAlign w:val="center"/>
          </w:tcPr>
          <w:p>
            <w:pPr>
              <w:widowControl/>
              <w:jc w:val="center"/>
              <w:rPr>
                <w:rFonts w:ascii="宋体" w:hAnsi="宋体"/>
                <w:color w:val="000000"/>
                <w:sz w:val="24"/>
              </w:rPr>
            </w:pPr>
            <w:r>
              <w:rPr>
                <w:rFonts w:hint="eastAsia" w:ascii="宋体" w:hAnsi="宋体"/>
                <w:color w:val="000000"/>
                <w:sz w:val="24"/>
              </w:rPr>
              <w:t>数量</w:t>
            </w:r>
          </w:p>
        </w:tc>
        <w:tc>
          <w:tcPr>
            <w:tcW w:w="1099" w:type="dxa"/>
            <w:vAlign w:val="center"/>
          </w:tcPr>
          <w:p>
            <w:pPr>
              <w:jc w:val="center"/>
              <w:rPr>
                <w:rFonts w:ascii="宋体" w:hAnsi="宋体"/>
                <w:color w:val="000000"/>
                <w:sz w:val="24"/>
              </w:rPr>
            </w:pPr>
            <w:r>
              <w:rPr>
                <w:rFonts w:hint="eastAsia" w:ascii="宋体" w:hAnsi="宋体"/>
                <w:color w:val="000000"/>
                <w:sz w:val="24"/>
              </w:rPr>
              <w:t>单价</w:t>
            </w:r>
          </w:p>
        </w:tc>
        <w:tc>
          <w:tcPr>
            <w:tcW w:w="1098" w:type="dxa"/>
            <w:vAlign w:val="center"/>
          </w:tcPr>
          <w:p>
            <w:pPr>
              <w:jc w:val="center"/>
              <w:rPr>
                <w:rFonts w:ascii="宋体" w:hAnsi="宋体"/>
                <w:color w:val="000000"/>
                <w:sz w:val="24"/>
              </w:rPr>
            </w:pPr>
            <w:r>
              <w:rPr>
                <w:rFonts w:hint="eastAsia" w:ascii="宋体" w:hAnsi="宋体"/>
                <w:color w:val="000000"/>
                <w:sz w:val="24"/>
              </w:rPr>
              <w:t>小计</w:t>
            </w:r>
          </w:p>
        </w:tc>
        <w:tc>
          <w:tcPr>
            <w:tcW w:w="1132" w:type="dxa"/>
            <w:vAlign w:val="center"/>
          </w:tcPr>
          <w:p>
            <w:pPr>
              <w:jc w:val="center"/>
              <w:rPr>
                <w:rFonts w:ascii="宋体" w:hAnsi="宋体"/>
                <w:color w:val="000000"/>
                <w:sz w:val="24"/>
              </w:rPr>
            </w:pPr>
            <w:r>
              <w:rPr>
                <w:rFonts w:hint="eastAsia" w:ascii="宋体" w:hAnsi="宋体"/>
                <w:color w:val="000000"/>
                <w:sz w:val="24"/>
              </w:rPr>
              <w:t>折扣率</w:t>
            </w:r>
          </w:p>
        </w:tc>
        <w:tc>
          <w:tcPr>
            <w:tcW w:w="1322" w:type="dxa"/>
            <w:vAlign w:val="center"/>
          </w:tcPr>
          <w:p>
            <w:pPr>
              <w:jc w:val="center"/>
              <w:rPr>
                <w:rFonts w:ascii="宋体" w:hAnsi="宋体"/>
                <w:color w:val="000000"/>
                <w:sz w:val="24"/>
              </w:rPr>
            </w:pPr>
            <w:r>
              <w:rPr>
                <w:rFonts w:hint="eastAsia" w:ascii="宋体" w:hAnsi="宋体"/>
                <w:color w:val="000000"/>
                <w:sz w:val="24"/>
              </w:rPr>
              <w:t>扣除价格</w:t>
            </w:r>
          </w:p>
        </w:tc>
        <w:tc>
          <w:tcPr>
            <w:tcW w:w="851" w:type="dxa"/>
            <w:vAlign w:val="center"/>
          </w:tcPr>
          <w:p>
            <w:pPr>
              <w:jc w:val="center"/>
              <w:rPr>
                <w:rFonts w:ascii="宋体" w:hAnsi="宋体"/>
                <w:color w:val="000000"/>
                <w:sz w:val="24"/>
              </w:rPr>
            </w:pPr>
            <w:r>
              <w:rPr>
                <w:rFonts w:hint="eastAsia" w:ascii="宋体" w:hAnsi="宋体"/>
                <w:color w:val="000000"/>
                <w:sz w:val="24"/>
              </w:rPr>
              <w:t>生产厂家</w:t>
            </w:r>
          </w:p>
        </w:tc>
        <w:tc>
          <w:tcPr>
            <w:tcW w:w="1035" w:type="dxa"/>
            <w:vAlign w:val="center"/>
          </w:tcPr>
          <w:p>
            <w:pPr>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color w:val="000000"/>
                <w:sz w:val="24"/>
              </w:rPr>
            </w:pPr>
            <w:r>
              <w:rPr>
                <w:rFonts w:ascii="宋体" w:hAnsi="宋体"/>
                <w:color w:val="000000"/>
                <w:sz w:val="24"/>
              </w:rPr>
              <w:t>1</w:t>
            </w:r>
          </w:p>
        </w:tc>
        <w:tc>
          <w:tcPr>
            <w:tcW w:w="1829" w:type="dxa"/>
            <w:vAlign w:val="center"/>
          </w:tcPr>
          <w:p>
            <w:pPr>
              <w:jc w:val="center"/>
              <w:rPr>
                <w:rFonts w:ascii="宋体" w:hAnsi="宋体"/>
                <w:color w:val="000000"/>
                <w:sz w:val="24"/>
              </w:rPr>
            </w:pPr>
          </w:p>
        </w:tc>
        <w:tc>
          <w:tcPr>
            <w:tcW w:w="610" w:type="dxa"/>
            <w:vAlign w:val="center"/>
          </w:tcPr>
          <w:p>
            <w:pPr>
              <w:jc w:val="center"/>
              <w:rPr>
                <w:rFonts w:ascii="宋体" w:hAnsi="宋体"/>
                <w:color w:val="000000"/>
                <w:sz w:val="24"/>
              </w:rPr>
            </w:pPr>
          </w:p>
        </w:tc>
        <w:tc>
          <w:tcPr>
            <w:tcW w:w="1099" w:type="dxa"/>
            <w:vAlign w:val="center"/>
          </w:tcPr>
          <w:p>
            <w:pPr>
              <w:jc w:val="center"/>
              <w:rPr>
                <w:rFonts w:ascii="宋体" w:hAnsi="宋体"/>
                <w:color w:val="000000"/>
                <w:sz w:val="24"/>
              </w:rPr>
            </w:pPr>
          </w:p>
        </w:tc>
        <w:tc>
          <w:tcPr>
            <w:tcW w:w="1098" w:type="dxa"/>
            <w:vAlign w:val="center"/>
          </w:tcPr>
          <w:p>
            <w:pPr>
              <w:jc w:val="center"/>
              <w:rPr>
                <w:rFonts w:ascii="宋体" w:hAnsi="宋体"/>
                <w:color w:val="000000"/>
                <w:sz w:val="24"/>
              </w:rPr>
            </w:pPr>
          </w:p>
        </w:tc>
        <w:tc>
          <w:tcPr>
            <w:tcW w:w="1132" w:type="dxa"/>
            <w:vAlign w:val="center"/>
          </w:tcPr>
          <w:p>
            <w:pPr>
              <w:jc w:val="center"/>
              <w:rPr>
                <w:rFonts w:ascii="宋体" w:hAnsi="宋体"/>
                <w:color w:val="000000"/>
                <w:sz w:val="24"/>
              </w:rPr>
            </w:pPr>
          </w:p>
        </w:tc>
        <w:tc>
          <w:tcPr>
            <w:tcW w:w="1322" w:type="dxa"/>
            <w:vAlign w:val="center"/>
          </w:tcPr>
          <w:p>
            <w:pPr>
              <w:jc w:val="center"/>
              <w:rPr>
                <w:rFonts w:ascii="宋体" w:hAnsi="宋体"/>
                <w:color w:val="000000"/>
                <w:sz w:val="24"/>
              </w:rPr>
            </w:pPr>
          </w:p>
        </w:tc>
        <w:tc>
          <w:tcPr>
            <w:tcW w:w="851" w:type="dxa"/>
            <w:vAlign w:val="center"/>
          </w:tcPr>
          <w:p>
            <w:pPr>
              <w:jc w:val="center"/>
              <w:rPr>
                <w:rFonts w:ascii="宋体" w:hAnsi="宋体"/>
                <w:color w:val="000000"/>
                <w:sz w:val="24"/>
              </w:rPr>
            </w:pPr>
          </w:p>
        </w:tc>
        <w:tc>
          <w:tcPr>
            <w:tcW w:w="1035" w:type="dxa"/>
            <w:vMerge w:val="restart"/>
            <w:vAlign w:val="center"/>
          </w:tcPr>
          <w:p>
            <w:pPr>
              <w:spacing w:line="360" w:lineRule="auto"/>
              <w:rPr>
                <w:rFonts w:ascii="宋体" w:hAnsi="宋体"/>
                <w:color w:val="000000"/>
                <w:sz w:val="24"/>
              </w:rPr>
            </w:pPr>
            <w:r>
              <w:rPr>
                <w:rFonts w:hint="eastAsia" w:ascii="宋体" w:hAnsi="宋体"/>
                <w:color w:val="000000"/>
                <w:sz w:val="24"/>
              </w:rPr>
              <w:t>须提供《中小企业声明函》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color w:val="000000"/>
                <w:sz w:val="24"/>
              </w:rPr>
            </w:pPr>
            <w:r>
              <w:rPr>
                <w:rFonts w:ascii="宋体" w:hAnsi="宋体"/>
                <w:color w:val="000000"/>
                <w:sz w:val="24"/>
              </w:rPr>
              <w:t>2</w:t>
            </w:r>
          </w:p>
        </w:tc>
        <w:tc>
          <w:tcPr>
            <w:tcW w:w="1829" w:type="dxa"/>
            <w:vAlign w:val="center"/>
          </w:tcPr>
          <w:p>
            <w:pPr>
              <w:jc w:val="center"/>
              <w:rPr>
                <w:rFonts w:ascii="宋体" w:hAnsi="宋体"/>
                <w:color w:val="000000"/>
                <w:sz w:val="24"/>
              </w:rPr>
            </w:pPr>
          </w:p>
        </w:tc>
        <w:tc>
          <w:tcPr>
            <w:tcW w:w="610" w:type="dxa"/>
            <w:vAlign w:val="center"/>
          </w:tcPr>
          <w:p>
            <w:pPr>
              <w:jc w:val="center"/>
              <w:rPr>
                <w:rFonts w:ascii="宋体" w:hAnsi="宋体"/>
                <w:color w:val="000000"/>
                <w:sz w:val="24"/>
              </w:rPr>
            </w:pPr>
          </w:p>
        </w:tc>
        <w:tc>
          <w:tcPr>
            <w:tcW w:w="1099" w:type="dxa"/>
            <w:vAlign w:val="center"/>
          </w:tcPr>
          <w:p>
            <w:pPr>
              <w:jc w:val="center"/>
              <w:rPr>
                <w:rFonts w:ascii="宋体" w:hAnsi="宋体"/>
                <w:color w:val="000000"/>
                <w:sz w:val="24"/>
              </w:rPr>
            </w:pPr>
          </w:p>
        </w:tc>
        <w:tc>
          <w:tcPr>
            <w:tcW w:w="1098" w:type="dxa"/>
            <w:vAlign w:val="center"/>
          </w:tcPr>
          <w:p>
            <w:pPr>
              <w:jc w:val="center"/>
              <w:rPr>
                <w:rFonts w:ascii="宋体" w:hAnsi="宋体"/>
                <w:color w:val="000000"/>
                <w:sz w:val="24"/>
              </w:rPr>
            </w:pPr>
          </w:p>
        </w:tc>
        <w:tc>
          <w:tcPr>
            <w:tcW w:w="1132" w:type="dxa"/>
            <w:vAlign w:val="center"/>
          </w:tcPr>
          <w:p>
            <w:pPr>
              <w:jc w:val="center"/>
              <w:rPr>
                <w:rFonts w:ascii="宋体" w:hAnsi="宋体"/>
                <w:color w:val="000000"/>
                <w:sz w:val="24"/>
              </w:rPr>
            </w:pPr>
          </w:p>
        </w:tc>
        <w:tc>
          <w:tcPr>
            <w:tcW w:w="1322" w:type="dxa"/>
            <w:vAlign w:val="center"/>
          </w:tcPr>
          <w:p>
            <w:pPr>
              <w:jc w:val="center"/>
              <w:rPr>
                <w:rFonts w:ascii="宋体" w:hAnsi="宋体"/>
                <w:color w:val="000000"/>
                <w:sz w:val="24"/>
              </w:rPr>
            </w:pPr>
          </w:p>
        </w:tc>
        <w:tc>
          <w:tcPr>
            <w:tcW w:w="851" w:type="dxa"/>
            <w:vAlign w:val="center"/>
          </w:tcPr>
          <w:p>
            <w:pPr>
              <w:jc w:val="center"/>
              <w:rPr>
                <w:rFonts w:ascii="宋体" w:hAnsi="宋体"/>
                <w:color w:val="000000"/>
                <w:sz w:val="24"/>
              </w:rPr>
            </w:pPr>
          </w:p>
        </w:tc>
        <w:tc>
          <w:tcPr>
            <w:tcW w:w="1035" w:type="dxa"/>
            <w:vMerge w:val="continue"/>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3" w:type="dxa"/>
            <w:vAlign w:val="center"/>
          </w:tcPr>
          <w:p>
            <w:pPr>
              <w:jc w:val="center"/>
              <w:rPr>
                <w:rFonts w:ascii="宋体" w:hAnsi="宋体"/>
                <w:color w:val="000000"/>
                <w:sz w:val="24"/>
              </w:rPr>
            </w:pPr>
            <w:r>
              <w:rPr>
                <w:rFonts w:ascii="宋体" w:hAnsi="宋体"/>
                <w:color w:val="000000"/>
                <w:sz w:val="24"/>
              </w:rPr>
              <w:t>3</w:t>
            </w:r>
          </w:p>
        </w:tc>
        <w:tc>
          <w:tcPr>
            <w:tcW w:w="1829" w:type="dxa"/>
            <w:vAlign w:val="center"/>
          </w:tcPr>
          <w:p>
            <w:pPr>
              <w:jc w:val="center"/>
              <w:rPr>
                <w:rFonts w:ascii="宋体" w:hAnsi="宋体"/>
                <w:color w:val="000000"/>
                <w:sz w:val="24"/>
              </w:rPr>
            </w:pPr>
          </w:p>
        </w:tc>
        <w:tc>
          <w:tcPr>
            <w:tcW w:w="610" w:type="dxa"/>
            <w:vAlign w:val="center"/>
          </w:tcPr>
          <w:p>
            <w:pPr>
              <w:jc w:val="center"/>
              <w:rPr>
                <w:rFonts w:ascii="宋体" w:hAnsi="宋体"/>
                <w:color w:val="000000"/>
                <w:sz w:val="24"/>
              </w:rPr>
            </w:pPr>
          </w:p>
        </w:tc>
        <w:tc>
          <w:tcPr>
            <w:tcW w:w="1099" w:type="dxa"/>
            <w:vAlign w:val="center"/>
          </w:tcPr>
          <w:p>
            <w:pPr>
              <w:jc w:val="center"/>
              <w:rPr>
                <w:rFonts w:ascii="宋体" w:hAnsi="宋体"/>
                <w:color w:val="000000"/>
                <w:sz w:val="24"/>
              </w:rPr>
            </w:pPr>
          </w:p>
        </w:tc>
        <w:tc>
          <w:tcPr>
            <w:tcW w:w="1098" w:type="dxa"/>
            <w:vAlign w:val="center"/>
          </w:tcPr>
          <w:p>
            <w:pPr>
              <w:jc w:val="center"/>
              <w:rPr>
                <w:rFonts w:ascii="宋体" w:hAnsi="宋体"/>
                <w:color w:val="000000"/>
                <w:sz w:val="24"/>
              </w:rPr>
            </w:pPr>
          </w:p>
        </w:tc>
        <w:tc>
          <w:tcPr>
            <w:tcW w:w="1132" w:type="dxa"/>
            <w:vAlign w:val="center"/>
          </w:tcPr>
          <w:p>
            <w:pPr>
              <w:jc w:val="center"/>
              <w:rPr>
                <w:rFonts w:ascii="宋体" w:hAnsi="宋体"/>
                <w:color w:val="000000"/>
                <w:sz w:val="24"/>
              </w:rPr>
            </w:pPr>
          </w:p>
        </w:tc>
        <w:tc>
          <w:tcPr>
            <w:tcW w:w="1322" w:type="dxa"/>
            <w:vAlign w:val="center"/>
          </w:tcPr>
          <w:p>
            <w:pPr>
              <w:jc w:val="center"/>
              <w:rPr>
                <w:rFonts w:ascii="宋体" w:hAnsi="宋体"/>
                <w:color w:val="000000"/>
                <w:sz w:val="24"/>
              </w:rPr>
            </w:pPr>
          </w:p>
        </w:tc>
        <w:tc>
          <w:tcPr>
            <w:tcW w:w="851" w:type="dxa"/>
            <w:vAlign w:val="center"/>
          </w:tcPr>
          <w:p>
            <w:pPr>
              <w:jc w:val="center"/>
              <w:rPr>
                <w:rFonts w:ascii="宋体" w:hAnsi="宋体"/>
                <w:color w:val="000000"/>
                <w:sz w:val="24"/>
              </w:rPr>
            </w:pPr>
          </w:p>
        </w:tc>
        <w:tc>
          <w:tcPr>
            <w:tcW w:w="1035" w:type="dxa"/>
            <w:vMerge w:val="continue"/>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3" w:type="dxa"/>
            <w:vAlign w:val="center"/>
          </w:tcPr>
          <w:p>
            <w:pPr>
              <w:jc w:val="center"/>
              <w:rPr>
                <w:rFonts w:ascii="宋体" w:hAnsi="宋体"/>
                <w:color w:val="000000"/>
                <w:sz w:val="24"/>
              </w:rPr>
            </w:pPr>
            <w:r>
              <w:rPr>
                <w:rFonts w:hint="eastAsia" w:ascii="宋体" w:hAnsi="宋体"/>
                <w:color w:val="000000"/>
                <w:sz w:val="24"/>
              </w:rPr>
              <w:t>……</w:t>
            </w:r>
          </w:p>
        </w:tc>
        <w:tc>
          <w:tcPr>
            <w:tcW w:w="1829" w:type="dxa"/>
            <w:vAlign w:val="center"/>
          </w:tcPr>
          <w:p>
            <w:pPr>
              <w:jc w:val="center"/>
              <w:rPr>
                <w:rFonts w:ascii="宋体" w:hAnsi="宋体"/>
                <w:color w:val="000000"/>
                <w:sz w:val="24"/>
              </w:rPr>
            </w:pPr>
          </w:p>
        </w:tc>
        <w:tc>
          <w:tcPr>
            <w:tcW w:w="610" w:type="dxa"/>
            <w:vAlign w:val="center"/>
          </w:tcPr>
          <w:p>
            <w:pPr>
              <w:jc w:val="center"/>
              <w:rPr>
                <w:rFonts w:ascii="宋体" w:hAnsi="宋体"/>
                <w:color w:val="000000"/>
                <w:sz w:val="24"/>
              </w:rPr>
            </w:pPr>
          </w:p>
        </w:tc>
        <w:tc>
          <w:tcPr>
            <w:tcW w:w="1099" w:type="dxa"/>
            <w:vAlign w:val="center"/>
          </w:tcPr>
          <w:p>
            <w:pPr>
              <w:jc w:val="center"/>
              <w:rPr>
                <w:rFonts w:ascii="宋体" w:hAnsi="宋体"/>
                <w:color w:val="000000"/>
                <w:sz w:val="24"/>
              </w:rPr>
            </w:pPr>
          </w:p>
        </w:tc>
        <w:tc>
          <w:tcPr>
            <w:tcW w:w="1098" w:type="dxa"/>
            <w:vAlign w:val="center"/>
          </w:tcPr>
          <w:p>
            <w:pPr>
              <w:jc w:val="center"/>
              <w:rPr>
                <w:rFonts w:ascii="宋体" w:hAnsi="宋体"/>
                <w:color w:val="000000"/>
                <w:sz w:val="24"/>
              </w:rPr>
            </w:pPr>
          </w:p>
        </w:tc>
        <w:tc>
          <w:tcPr>
            <w:tcW w:w="1132" w:type="dxa"/>
            <w:vAlign w:val="center"/>
          </w:tcPr>
          <w:p>
            <w:pPr>
              <w:jc w:val="center"/>
              <w:rPr>
                <w:rFonts w:ascii="宋体" w:hAnsi="宋体"/>
                <w:color w:val="000000"/>
                <w:sz w:val="24"/>
              </w:rPr>
            </w:pPr>
          </w:p>
        </w:tc>
        <w:tc>
          <w:tcPr>
            <w:tcW w:w="1322" w:type="dxa"/>
            <w:vAlign w:val="center"/>
          </w:tcPr>
          <w:p>
            <w:pPr>
              <w:jc w:val="center"/>
              <w:rPr>
                <w:rFonts w:ascii="宋体" w:hAnsi="宋体"/>
                <w:color w:val="000000"/>
                <w:sz w:val="24"/>
              </w:rPr>
            </w:pPr>
          </w:p>
        </w:tc>
        <w:tc>
          <w:tcPr>
            <w:tcW w:w="851" w:type="dxa"/>
            <w:vAlign w:val="center"/>
          </w:tcPr>
          <w:p>
            <w:pPr>
              <w:jc w:val="center"/>
              <w:rPr>
                <w:rFonts w:ascii="宋体" w:hAnsi="宋体"/>
                <w:color w:val="000000"/>
                <w:sz w:val="24"/>
              </w:rPr>
            </w:pPr>
          </w:p>
        </w:tc>
        <w:tc>
          <w:tcPr>
            <w:tcW w:w="1035" w:type="dxa"/>
            <w:vMerge w:val="continue"/>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562" w:type="dxa"/>
            <w:gridSpan w:val="2"/>
            <w:vAlign w:val="center"/>
          </w:tcPr>
          <w:p>
            <w:pPr>
              <w:jc w:val="center"/>
              <w:rPr>
                <w:rFonts w:ascii="宋体" w:hAnsi="宋体"/>
                <w:b/>
                <w:color w:val="000000"/>
                <w:sz w:val="24"/>
              </w:rPr>
            </w:pPr>
            <w:r>
              <w:rPr>
                <w:rFonts w:hint="eastAsia" w:ascii="宋体" w:hAnsi="宋体"/>
                <w:b/>
                <w:color w:val="000000"/>
                <w:sz w:val="24"/>
              </w:rPr>
              <w:t>合计</w:t>
            </w:r>
          </w:p>
        </w:tc>
        <w:tc>
          <w:tcPr>
            <w:tcW w:w="610" w:type="dxa"/>
            <w:vAlign w:val="center"/>
          </w:tcPr>
          <w:p>
            <w:pPr>
              <w:jc w:val="center"/>
              <w:rPr>
                <w:rFonts w:ascii="宋体" w:hAnsi="宋体"/>
                <w:color w:val="000000"/>
                <w:sz w:val="24"/>
              </w:rPr>
            </w:pPr>
            <w:r>
              <w:rPr>
                <w:rFonts w:hint="eastAsia" w:ascii="宋体" w:hAnsi="宋体"/>
                <w:color w:val="000000"/>
                <w:sz w:val="24"/>
              </w:rPr>
              <w:t>/</w:t>
            </w:r>
          </w:p>
        </w:tc>
        <w:tc>
          <w:tcPr>
            <w:tcW w:w="1099" w:type="dxa"/>
            <w:vAlign w:val="center"/>
          </w:tcPr>
          <w:p>
            <w:pPr>
              <w:jc w:val="center"/>
              <w:rPr>
                <w:rFonts w:ascii="宋体" w:hAnsi="宋体"/>
                <w:color w:val="000000"/>
                <w:sz w:val="24"/>
              </w:rPr>
            </w:pPr>
            <w:r>
              <w:rPr>
                <w:rFonts w:hint="eastAsia" w:ascii="宋体" w:hAnsi="宋体"/>
                <w:color w:val="000000"/>
                <w:sz w:val="24"/>
              </w:rPr>
              <w:t>/</w:t>
            </w:r>
          </w:p>
        </w:tc>
        <w:tc>
          <w:tcPr>
            <w:tcW w:w="1098" w:type="dxa"/>
            <w:vAlign w:val="center"/>
          </w:tcPr>
          <w:p>
            <w:pPr>
              <w:jc w:val="center"/>
              <w:rPr>
                <w:rFonts w:ascii="宋体" w:hAnsi="宋体"/>
                <w:color w:val="000000"/>
                <w:sz w:val="24"/>
              </w:rPr>
            </w:pPr>
          </w:p>
        </w:tc>
        <w:tc>
          <w:tcPr>
            <w:tcW w:w="1132" w:type="dxa"/>
            <w:vAlign w:val="center"/>
          </w:tcPr>
          <w:p>
            <w:pPr>
              <w:jc w:val="center"/>
              <w:rPr>
                <w:rFonts w:ascii="宋体" w:hAnsi="宋体"/>
                <w:color w:val="000000"/>
                <w:sz w:val="24"/>
              </w:rPr>
            </w:pPr>
            <w:r>
              <w:rPr>
                <w:rFonts w:hint="eastAsia" w:ascii="宋体" w:hAnsi="宋体"/>
                <w:color w:val="000000"/>
                <w:sz w:val="24"/>
              </w:rPr>
              <w:t>/</w:t>
            </w:r>
          </w:p>
        </w:tc>
        <w:tc>
          <w:tcPr>
            <w:tcW w:w="1322" w:type="dxa"/>
            <w:vAlign w:val="center"/>
          </w:tcPr>
          <w:p>
            <w:pPr>
              <w:jc w:val="center"/>
              <w:rPr>
                <w:rFonts w:ascii="宋体" w:hAnsi="宋体"/>
                <w:color w:val="000000"/>
                <w:sz w:val="24"/>
              </w:rPr>
            </w:pPr>
          </w:p>
        </w:tc>
        <w:tc>
          <w:tcPr>
            <w:tcW w:w="851" w:type="dxa"/>
            <w:vAlign w:val="center"/>
          </w:tcPr>
          <w:p>
            <w:pPr>
              <w:jc w:val="center"/>
              <w:rPr>
                <w:rFonts w:ascii="宋体" w:hAnsi="宋体"/>
                <w:color w:val="000000"/>
                <w:sz w:val="24"/>
              </w:rPr>
            </w:pPr>
            <w:r>
              <w:rPr>
                <w:rFonts w:hint="eastAsia" w:ascii="宋体" w:hAnsi="宋体"/>
                <w:color w:val="000000"/>
                <w:sz w:val="24"/>
              </w:rPr>
              <w:t>/</w:t>
            </w:r>
          </w:p>
        </w:tc>
        <w:tc>
          <w:tcPr>
            <w:tcW w:w="1035" w:type="dxa"/>
            <w:vAlign w:val="center"/>
          </w:tcPr>
          <w:p>
            <w:pPr>
              <w:jc w:val="center"/>
              <w:rPr>
                <w:rFonts w:ascii="宋体" w:hAnsi="宋体"/>
                <w:color w:val="000000"/>
                <w:sz w:val="24"/>
              </w:rPr>
            </w:pPr>
            <w:r>
              <w:rPr>
                <w:rFonts w:hint="eastAsia" w:ascii="宋体" w:hAnsi="宋体"/>
                <w:color w:val="000000"/>
                <w:sz w:val="24"/>
              </w:rPr>
              <w:t>/</w:t>
            </w:r>
          </w:p>
        </w:tc>
      </w:tr>
    </w:tbl>
    <w:p>
      <w:pPr>
        <w:adjustRightInd w:val="0"/>
        <w:snapToGrid w:val="0"/>
        <w:spacing w:line="360" w:lineRule="auto"/>
        <w:rPr>
          <w:rFonts w:ascii="宋体" w:hAnsi="宋体"/>
          <w:b/>
          <w:bCs/>
          <w:color w:val="000000"/>
          <w:sz w:val="24"/>
          <w:szCs w:val="28"/>
        </w:rPr>
      </w:pPr>
    </w:p>
    <w:p>
      <w:pPr>
        <w:adjustRightInd w:val="0"/>
        <w:snapToGrid w:val="0"/>
        <w:spacing w:line="360" w:lineRule="auto"/>
        <w:rPr>
          <w:rFonts w:ascii="宋体"/>
          <w:b/>
          <w:bCs/>
          <w:color w:val="000000"/>
          <w:sz w:val="24"/>
          <w:szCs w:val="28"/>
        </w:rPr>
      </w:pPr>
      <w:r>
        <w:rPr>
          <w:rFonts w:hint="eastAsia" w:ascii="宋体" w:hAnsi="宋体"/>
          <w:b/>
          <w:bCs/>
          <w:color w:val="000000"/>
          <w:sz w:val="24"/>
          <w:szCs w:val="28"/>
        </w:rPr>
        <w:t>备注：</w:t>
      </w:r>
    </w:p>
    <w:p>
      <w:pPr>
        <w:adjustRightInd w:val="0"/>
        <w:snapToGrid w:val="0"/>
        <w:spacing w:line="360" w:lineRule="auto"/>
        <w:jc w:val="left"/>
        <w:rPr>
          <w:rFonts w:ascii="宋体"/>
          <w:b/>
          <w:bCs/>
          <w:color w:val="000000"/>
          <w:sz w:val="24"/>
          <w:szCs w:val="28"/>
        </w:rPr>
      </w:pPr>
      <w:r>
        <w:rPr>
          <w:rFonts w:ascii="宋体" w:hAnsi="宋体"/>
          <w:b/>
          <w:color w:val="000000"/>
          <w:sz w:val="24"/>
        </w:rPr>
        <w:t>1</w:t>
      </w:r>
      <w:r>
        <w:rPr>
          <w:rFonts w:hint="eastAsia" w:ascii="宋体" w:hAnsi="宋体"/>
          <w:b/>
          <w:color w:val="000000"/>
          <w:sz w:val="24"/>
        </w:rPr>
        <w:t>、表中所列产品应为投标供应商满足本竞争性磋商文件要求的中型、小型、微型企业生产的产品</w:t>
      </w:r>
      <w:r>
        <w:rPr>
          <w:rFonts w:hint="eastAsia" w:ascii="宋体" w:hAnsi="宋体"/>
          <w:b/>
          <w:bCs/>
          <w:color w:val="000000"/>
          <w:sz w:val="24"/>
          <w:szCs w:val="28"/>
        </w:rPr>
        <w:t>；所投产品生产厂家出具的中小企业声明函（见附件）须随本声明函同时提供，否则该产品不予认可为中型、</w:t>
      </w:r>
      <w:r>
        <w:rPr>
          <w:rFonts w:hint="eastAsia" w:ascii="宋体" w:hAnsi="宋体"/>
          <w:b/>
          <w:color w:val="000000"/>
          <w:sz w:val="24"/>
        </w:rPr>
        <w:t>小型、微型</w:t>
      </w:r>
      <w:r>
        <w:rPr>
          <w:rFonts w:hint="eastAsia" w:ascii="宋体" w:hAnsi="宋体"/>
          <w:b/>
          <w:bCs/>
          <w:color w:val="000000"/>
          <w:sz w:val="24"/>
          <w:szCs w:val="28"/>
        </w:rPr>
        <w:t>企业生产的产品，该部分价格不享受中小微企业折扣政策。</w:t>
      </w:r>
    </w:p>
    <w:p>
      <w:pPr>
        <w:adjustRightInd w:val="0"/>
        <w:snapToGrid w:val="0"/>
        <w:spacing w:line="360" w:lineRule="auto"/>
        <w:rPr>
          <w:rFonts w:ascii="宋体" w:hAnsi="宋体"/>
          <w:b/>
          <w:bCs/>
          <w:color w:val="000000"/>
          <w:sz w:val="24"/>
          <w:szCs w:val="28"/>
        </w:rPr>
      </w:pPr>
      <w:r>
        <w:rPr>
          <w:rFonts w:ascii="宋体" w:hAnsi="宋体"/>
          <w:b/>
          <w:color w:val="000000"/>
          <w:sz w:val="24"/>
        </w:rPr>
        <w:t>2</w:t>
      </w:r>
      <w:r>
        <w:rPr>
          <w:rFonts w:hint="eastAsia" w:ascii="宋体" w:hAnsi="宋体"/>
          <w:b/>
          <w:color w:val="000000"/>
          <w:sz w:val="24"/>
        </w:rPr>
        <w:t>、</w:t>
      </w:r>
      <w:r>
        <w:rPr>
          <w:rFonts w:hint="eastAsia" w:ascii="宋体" w:hAnsi="宋体"/>
          <w:b/>
          <w:bCs/>
          <w:color w:val="000000"/>
          <w:sz w:val="24"/>
          <w:szCs w:val="28"/>
        </w:rPr>
        <w:t>如竞争性磋商文件《投标供应商须知前附表》有约定的，将按约定对排名第一的中标候选供应商提供的中小企业产品品名及生产厂家，随评审结果一并公示。</w:t>
      </w:r>
    </w:p>
    <w:p>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3、中型企业产品的价格给予3%的扣除，对小型企业产品的价格给予6%的扣除，对微型企业产品的价格给予8%的扣除。</w:t>
      </w:r>
    </w:p>
    <w:p>
      <w:pPr>
        <w:adjustRightInd w:val="0"/>
        <w:snapToGrid w:val="0"/>
        <w:spacing w:line="360" w:lineRule="auto"/>
        <w:rPr>
          <w:rFonts w:ascii="宋体" w:hAnsi="宋体"/>
          <w:b/>
          <w:color w:val="000000"/>
          <w:sz w:val="24"/>
        </w:rPr>
      </w:pPr>
    </w:p>
    <w:p>
      <w:pPr>
        <w:adjustRightInd w:val="0"/>
        <w:snapToGrid w:val="0"/>
        <w:spacing w:line="360" w:lineRule="auto"/>
        <w:rPr>
          <w:rFonts w:ascii="宋体"/>
          <w:color w:val="000000"/>
          <w:sz w:val="28"/>
        </w:rPr>
      </w:pPr>
    </w:p>
    <w:p>
      <w:pPr>
        <w:spacing w:line="360" w:lineRule="auto"/>
        <w:ind w:firstLine="4245" w:firstLineChars="1762"/>
        <w:rPr>
          <w:rFonts w:ascii="宋体"/>
          <w:b/>
          <w:sz w:val="24"/>
          <w:u w:val="single"/>
        </w:rPr>
      </w:pPr>
      <w:r>
        <w:rPr>
          <w:rFonts w:hint="eastAsia" w:ascii="宋体" w:hAnsi="宋体"/>
          <w:b/>
          <w:sz w:val="24"/>
        </w:rPr>
        <w:t>投标供应商公章：</w:t>
      </w:r>
    </w:p>
    <w:p>
      <w:pPr>
        <w:tabs>
          <w:tab w:val="left" w:pos="4620"/>
        </w:tabs>
        <w:spacing w:line="360" w:lineRule="auto"/>
        <w:ind w:firstLine="4269" w:firstLineChars="1772"/>
        <w:rPr>
          <w:rFonts w:ascii="宋体"/>
          <w:sz w:val="24"/>
          <w:u w:val="single"/>
        </w:rPr>
      </w:pPr>
      <w:r>
        <w:rPr>
          <w:rFonts w:hint="eastAsia" w:ascii="宋体" w:hAnsi="宋体"/>
          <w:b/>
          <w:sz w:val="24"/>
        </w:rPr>
        <w:t>日期</w:t>
      </w:r>
      <w:r>
        <w:rPr>
          <w:rFonts w:hint="eastAsia" w:ascii="宋体" w:hAnsi="宋体"/>
          <w:sz w:val="24"/>
        </w:rPr>
        <w:t>：</w:t>
      </w:r>
    </w:p>
    <w:p>
      <w:pPr>
        <w:tabs>
          <w:tab w:val="left" w:pos="4620"/>
        </w:tabs>
        <w:spacing w:line="360" w:lineRule="auto"/>
        <w:ind w:firstLine="4252" w:firstLineChars="1772"/>
        <w:rPr>
          <w:rFonts w:ascii="宋体"/>
          <w:sz w:val="24"/>
          <w:u w:val="single"/>
        </w:rPr>
      </w:pPr>
    </w:p>
    <w:p>
      <w:pPr>
        <w:adjustRightInd w:val="0"/>
        <w:snapToGrid w:val="0"/>
        <w:spacing w:line="360" w:lineRule="auto"/>
        <w:rPr>
          <w:rFonts w:ascii="宋体" w:hAnsi="宋体"/>
          <w:bCs/>
          <w:color w:val="000000"/>
          <w:sz w:val="24"/>
          <w:szCs w:val="28"/>
        </w:rPr>
      </w:pPr>
      <w:r>
        <w:rPr>
          <w:rFonts w:hint="eastAsia" w:ascii="宋体" w:hAnsi="宋体"/>
          <w:bCs/>
          <w:color w:val="000000"/>
          <w:sz w:val="24"/>
          <w:szCs w:val="28"/>
        </w:rPr>
        <w:t>示例：某中小企业投标总价为600元，其中投标产品A、B、C分别为中型企业、小型企业和微型企业生产的产品，则上表填写如下：</w:t>
      </w:r>
    </w:p>
    <w:p>
      <w:pPr>
        <w:adjustRightInd w:val="0"/>
        <w:snapToGrid w:val="0"/>
        <w:spacing w:line="360" w:lineRule="auto"/>
        <w:rPr>
          <w:rFonts w:ascii="宋体" w:hAnsi="宋体"/>
          <w:b/>
          <w:bCs/>
          <w:color w:val="000000"/>
          <w:sz w:val="24"/>
          <w:szCs w:val="28"/>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00"/>
        <w:gridCol w:w="850"/>
        <w:gridCol w:w="851"/>
        <w:gridCol w:w="992"/>
        <w:gridCol w:w="992"/>
        <w:gridCol w:w="1276"/>
        <w:gridCol w:w="141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33" w:type="dxa"/>
            <w:vAlign w:val="center"/>
          </w:tcPr>
          <w:p>
            <w:pPr>
              <w:jc w:val="center"/>
              <w:rPr>
                <w:rFonts w:ascii="宋体" w:hAnsi="宋体"/>
                <w:color w:val="000000"/>
                <w:sz w:val="24"/>
              </w:rPr>
            </w:pPr>
            <w:r>
              <w:rPr>
                <w:rFonts w:hint="eastAsia" w:ascii="宋体" w:hAnsi="宋体"/>
                <w:color w:val="000000"/>
                <w:sz w:val="24"/>
              </w:rPr>
              <w:t>序号</w:t>
            </w:r>
          </w:p>
        </w:tc>
        <w:tc>
          <w:tcPr>
            <w:tcW w:w="1400" w:type="dxa"/>
            <w:vAlign w:val="center"/>
          </w:tcPr>
          <w:p>
            <w:pPr>
              <w:jc w:val="center"/>
              <w:rPr>
                <w:rFonts w:ascii="宋体" w:hAnsi="宋体"/>
                <w:color w:val="000000"/>
                <w:sz w:val="24"/>
              </w:rPr>
            </w:pPr>
            <w:r>
              <w:rPr>
                <w:rFonts w:hint="eastAsia" w:ascii="宋体" w:hAnsi="宋体"/>
                <w:color w:val="000000"/>
                <w:sz w:val="24"/>
              </w:rPr>
              <w:t>品名</w:t>
            </w:r>
          </w:p>
        </w:tc>
        <w:tc>
          <w:tcPr>
            <w:tcW w:w="850" w:type="dxa"/>
            <w:vAlign w:val="center"/>
          </w:tcPr>
          <w:p>
            <w:pPr>
              <w:widowControl/>
              <w:jc w:val="center"/>
              <w:rPr>
                <w:rFonts w:ascii="宋体" w:hAnsi="宋体"/>
                <w:color w:val="000000"/>
                <w:sz w:val="24"/>
              </w:rPr>
            </w:pPr>
            <w:r>
              <w:rPr>
                <w:rFonts w:hint="eastAsia" w:ascii="宋体" w:hAnsi="宋体"/>
                <w:color w:val="000000"/>
                <w:sz w:val="24"/>
              </w:rPr>
              <w:t>数量</w:t>
            </w:r>
          </w:p>
        </w:tc>
        <w:tc>
          <w:tcPr>
            <w:tcW w:w="851" w:type="dxa"/>
            <w:vAlign w:val="center"/>
          </w:tcPr>
          <w:p>
            <w:pPr>
              <w:jc w:val="center"/>
              <w:rPr>
                <w:rFonts w:ascii="宋体" w:hAnsi="宋体"/>
                <w:color w:val="000000"/>
                <w:sz w:val="24"/>
              </w:rPr>
            </w:pPr>
            <w:r>
              <w:rPr>
                <w:rFonts w:hint="eastAsia" w:ascii="宋体" w:hAnsi="宋体"/>
                <w:color w:val="000000"/>
                <w:sz w:val="24"/>
              </w:rPr>
              <w:t>单价</w:t>
            </w:r>
          </w:p>
        </w:tc>
        <w:tc>
          <w:tcPr>
            <w:tcW w:w="992" w:type="dxa"/>
            <w:vAlign w:val="center"/>
          </w:tcPr>
          <w:p>
            <w:pPr>
              <w:jc w:val="center"/>
              <w:rPr>
                <w:rFonts w:ascii="宋体" w:hAnsi="宋体"/>
                <w:color w:val="000000"/>
                <w:sz w:val="24"/>
              </w:rPr>
            </w:pPr>
            <w:r>
              <w:rPr>
                <w:rFonts w:hint="eastAsia" w:ascii="宋体" w:hAnsi="宋体"/>
                <w:color w:val="000000"/>
                <w:sz w:val="24"/>
              </w:rPr>
              <w:t>小计</w:t>
            </w:r>
          </w:p>
        </w:tc>
        <w:tc>
          <w:tcPr>
            <w:tcW w:w="992" w:type="dxa"/>
            <w:vAlign w:val="center"/>
          </w:tcPr>
          <w:p>
            <w:pPr>
              <w:jc w:val="center"/>
              <w:rPr>
                <w:rFonts w:ascii="宋体" w:hAnsi="宋体"/>
                <w:color w:val="000000"/>
                <w:sz w:val="24"/>
              </w:rPr>
            </w:pPr>
            <w:r>
              <w:rPr>
                <w:rFonts w:hint="eastAsia" w:ascii="宋体" w:hAnsi="宋体"/>
                <w:color w:val="000000"/>
                <w:sz w:val="24"/>
              </w:rPr>
              <w:t>折扣率</w:t>
            </w:r>
          </w:p>
        </w:tc>
        <w:tc>
          <w:tcPr>
            <w:tcW w:w="1276" w:type="dxa"/>
            <w:vAlign w:val="center"/>
          </w:tcPr>
          <w:p>
            <w:pPr>
              <w:jc w:val="center"/>
              <w:rPr>
                <w:rFonts w:ascii="宋体" w:hAnsi="宋体"/>
                <w:color w:val="000000"/>
                <w:sz w:val="24"/>
              </w:rPr>
            </w:pPr>
            <w:r>
              <w:rPr>
                <w:rFonts w:hint="eastAsia" w:ascii="宋体" w:hAnsi="宋体"/>
                <w:color w:val="000000"/>
                <w:sz w:val="24"/>
              </w:rPr>
              <w:t>扣除价格</w:t>
            </w:r>
          </w:p>
        </w:tc>
        <w:tc>
          <w:tcPr>
            <w:tcW w:w="1418" w:type="dxa"/>
            <w:vAlign w:val="center"/>
          </w:tcPr>
          <w:p>
            <w:pPr>
              <w:jc w:val="center"/>
              <w:rPr>
                <w:rFonts w:ascii="宋体" w:hAnsi="宋体"/>
                <w:color w:val="000000"/>
                <w:sz w:val="24"/>
              </w:rPr>
            </w:pPr>
            <w:r>
              <w:rPr>
                <w:rFonts w:hint="eastAsia" w:ascii="宋体" w:hAnsi="宋体"/>
                <w:color w:val="000000"/>
                <w:sz w:val="24"/>
              </w:rPr>
              <w:t>生产厂家</w:t>
            </w:r>
          </w:p>
        </w:tc>
        <w:tc>
          <w:tcPr>
            <w:tcW w:w="1197" w:type="dxa"/>
            <w:vAlign w:val="center"/>
          </w:tcPr>
          <w:p>
            <w:pPr>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3" w:type="dxa"/>
            <w:vAlign w:val="center"/>
          </w:tcPr>
          <w:p>
            <w:pPr>
              <w:jc w:val="center"/>
              <w:rPr>
                <w:rFonts w:ascii="宋体" w:hAnsi="宋体"/>
                <w:color w:val="000000"/>
                <w:sz w:val="24"/>
              </w:rPr>
            </w:pPr>
            <w:r>
              <w:rPr>
                <w:rFonts w:ascii="宋体" w:hAnsi="宋体"/>
                <w:color w:val="000000"/>
                <w:sz w:val="24"/>
              </w:rPr>
              <w:t>1</w:t>
            </w:r>
          </w:p>
        </w:tc>
        <w:tc>
          <w:tcPr>
            <w:tcW w:w="1400" w:type="dxa"/>
            <w:vAlign w:val="center"/>
          </w:tcPr>
          <w:p>
            <w:pPr>
              <w:jc w:val="center"/>
              <w:rPr>
                <w:rFonts w:ascii="宋体" w:hAnsi="宋体"/>
                <w:color w:val="000000"/>
                <w:sz w:val="24"/>
              </w:rPr>
            </w:pPr>
            <w:r>
              <w:rPr>
                <w:rFonts w:hint="eastAsia" w:ascii="宋体" w:hAnsi="宋体"/>
                <w:color w:val="000000"/>
                <w:sz w:val="24"/>
              </w:rPr>
              <w:t>A</w:t>
            </w:r>
          </w:p>
        </w:tc>
        <w:tc>
          <w:tcPr>
            <w:tcW w:w="850" w:type="dxa"/>
            <w:vAlign w:val="center"/>
          </w:tcPr>
          <w:p>
            <w:pPr>
              <w:jc w:val="center"/>
              <w:rPr>
                <w:rFonts w:ascii="宋体" w:hAnsi="宋体"/>
                <w:color w:val="000000"/>
                <w:sz w:val="24"/>
              </w:rPr>
            </w:pPr>
            <w:r>
              <w:rPr>
                <w:rFonts w:hint="eastAsia" w:ascii="宋体" w:hAnsi="宋体"/>
                <w:color w:val="000000"/>
                <w:sz w:val="24"/>
              </w:rPr>
              <w:t>1</w:t>
            </w:r>
          </w:p>
        </w:tc>
        <w:tc>
          <w:tcPr>
            <w:tcW w:w="851" w:type="dxa"/>
            <w:vAlign w:val="center"/>
          </w:tcPr>
          <w:p>
            <w:pPr>
              <w:jc w:val="center"/>
              <w:rPr>
                <w:rFonts w:ascii="宋体" w:hAnsi="宋体"/>
                <w:color w:val="000000"/>
                <w:sz w:val="24"/>
              </w:rPr>
            </w:pPr>
            <w:r>
              <w:rPr>
                <w:rFonts w:hint="eastAsia" w:ascii="宋体" w:hAnsi="宋体"/>
                <w:color w:val="000000"/>
                <w:sz w:val="24"/>
              </w:rPr>
              <w:t>50</w:t>
            </w:r>
          </w:p>
        </w:tc>
        <w:tc>
          <w:tcPr>
            <w:tcW w:w="992" w:type="dxa"/>
            <w:vAlign w:val="center"/>
          </w:tcPr>
          <w:p>
            <w:pPr>
              <w:jc w:val="center"/>
              <w:rPr>
                <w:rFonts w:ascii="宋体" w:hAnsi="宋体"/>
                <w:color w:val="000000"/>
                <w:sz w:val="24"/>
              </w:rPr>
            </w:pPr>
            <w:r>
              <w:rPr>
                <w:rFonts w:hint="eastAsia" w:ascii="宋体" w:hAnsi="宋体"/>
                <w:color w:val="000000"/>
                <w:sz w:val="24"/>
              </w:rPr>
              <w:t>50</w:t>
            </w:r>
          </w:p>
        </w:tc>
        <w:tc>
          <w:tcPr>
            <w:tcW w:w="992" w:type="dxa"/>
            <w:vAlign w:val="center"/>
          </w:tcPr>
          <w:p>
            <w:pPr>
              <w:jc w:val="center"/>
              <w:rPr>
                <w:rFonts w:ascii="宋体" w:hAnsi="宋体"/>
                <w:color w:val="000000"/>
                <w:sz w:val="24"/>
              </w:rPr>
            </w:pPr>
            <w:r>
              <w:rPr>
                <w:rFonts w:hint="eastAsia" w:ascii="宋体" w:hAnsi="宋体"/>
                <w:color w:val="000000"/>
                <w:sz w:val="24"/>
              </w:rPr>
              <w:t>3%</w:t>
            </w:r>
          </w:p>
        </w:tc>
        <w:tc>
          <w:tcPr>
            <w:tcW w:w="1276" w:type="dxa"/>
            <w:vAlign w:val="center"/>
          </w:tcPr>
          <w:p>
            <w:pPr>
              <w:jc w:val="center"/>
              <w:rPr>
                <w:rFonts w:ascii="宋体" w:hAnsi="宋体"/>
                <w:color w:val="000000"/>
                <w:sz w:val="24"/>
              </w:rPr>
            </w:pPr>
            <w:r>
              <w:rPr>
                <w:rFonts w:hint="eastAsia" w:ascii="宋体" w:hAnsi="宋体"/>
                <w:color w:val="000000"/>
                <w:sz w:val="24"/>
              </w:rPr>
              <w:t>1.5</w:t>
            </w:r>
          </w:p>
        </w:tc>
        <w:tc>
          <w:tcPr>
            <w:tcW w:w="1418" w:type="dxa"/>
            <w:vAlign w:val="center"/>
          </w:tcPr>
          <w:p>
            <w:pPr>
              <w:jc w:val="center"/>
              <w:rPr>
                <w:rFonts w:ascii="宋体" w:hAnsi="宋体"/>
                <w:color w:val="000000"/>
                <w:sz w:val="24"/>
              </w:rPr>
            </w:pPr>
            <w:r>
              <w:rPr>
                <w:rFonts w:hint="eastAsia" w:ascii="宋体" w:hAnsi="宋体"/>
                <w:color w:val="000000"/>
                <w:sz w:val="24"/>
              </w:rPr>
              <w:t>某中型企业</w:t>
            </w:r>
          </w:p>
        </w:tc>
        <w:tc>
          <w:tcPr>
            <w:tcW w:w="1197" w:type="dxa"/>
            <w:vMerge w:val="restart"/>
            <w:vAlign w:val="center"/>
          </w:tcPr>
          <w:p>
            <w:pPr>
              <w:jc w:val="center"/>
              <w:rPr>
                <w:rFonts w:ascii="宋体" w:hAnsi="宋体"/>
                <w:color w:val="000000"/>
                <w:sz w:val="24"/>
              </w:rPr>
            </w:pPr>
            <w:r>
              <w:rPr>
                <w:rFonts w:hint="eastAsia" w:ascii="宋体" w:hAnsi="宋体"/>
                <w:color w:val="000000"/>
                <w:sz w:val="24"/>
              </w:rPr>
              <w:t>《中小企业声明函》后附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color w:val="000000"/>
                <w:sz w:val="24"/>
              </w:rPr>
            </w:pPr>
            <w:r>
              <w:rPr>
                <w:rFonts w:ascii="宋体" w:hAnsi="宋体"/>
                <w:color w:val="000000"/>
                <w:sz w:val="24"/>
              </w:rPr>
              <w:t>2</w:t>
            </w:r>
          </w:p>
        </w:tc>
        <w:tc>
          <w:tcPr>
            <w:tcW w:w="1400" w:type="dxa"/>
            <w:vAlign w:val="center"/>
          </w:tcPr>
          <w:p>
            <w:pPr>
              <w:jc w:val="center"/>
              <w:rPr>
                <w:rFonts w:ascii="宋体" w:hAnsi="宋体"/>
                <w:color w:val="000000"/>
                <w:sz w:val="24"/>
              </w:rPr>
            </w:pPr>
            <w:r>
              <w:rPr>
                <w:rFonts w:hint="eastAsia" w:ascii="宋体" w:hAnsi="宋体"/>
                <w:color w:val="000000"/>
                <w:sz w:val="24"/>
              </w:rPr>
              <w:t>B</w:t>
            </w:r>
          </w:p>
        </w:tc>
        <w:tc>
          <w:tcPr>
            <w:tcW w:w="850" w:type="dxa"/>
            <w:vAlign w:val="center"/>
          </w:tcPr>
          <w:p>
            <w:pPr>
              <w:jc w:val="center"/>
              <w:rPr>
                <w:rFonts w:ascii="宋体" w:hAnsi="宋体"/>
                <w:color w:val="000000"/>
                <w:sz w:val="24"/>
              </w:rPr>
            </w:pPr>
            <w:r>
              <w:rPr>
                <w:rFonts w:hint="eastAsia" w:ascii="宋体" w:hAnsi="宋体"/>
                <w:color w:val="000000"/>
                <w:sz w:val="24"/>
              </w:rPr>
              <w:t>2</w:t>
            </w:r>
          </w:p>
        </w:tc>
        <w:tc>
          <w:tcPr>
            <w:tcW w:w="851" w:type="dxa"/>
            <w:vAlign w:val="center"/>
          </w:tcPr>
          <w:p>
            <w:pPr>
              <w:jc w:val="center"/>
              <w:rPr>
                <w:rFonts w:ascii="宋体" w:hAnsi="宋体"/>
                <w:color w:val="000000"/>
                <w:sz w:val="24"/>
              </w:rPr>
            </w:pPr>
            <w:r>
              <w:rPr>
                <w:rFonts w:hint="eastAsia" w:ascii="宋体" w:hAnsi="宋体"/>
                <w:color w:val="000000"/>
                <w:sz w:val="24"/>
              </w:rPr>
              <w:t>60</w:t>
            </w:r>
          </w:p>
        </w:tc>
        <w:tc>
          <w:tcPr>
            <w:tcW w:w="992" w:type="dxa"/>
            <w:vAlign w:val="center"/>
          </w:tcPr>
          <w:p>
            <w:pPr>
              <w:jc w:val="center"/>
              <w:rPr>
                <w:rFonts w:ascii="宋体" w:hAnsi="宋体"/>
                <w:color w:val="000000"/>
                <w:sz w:val="24"/>
              </w:rPr>
            </w:pPr>
            <w:r>
              <w:rPr>
                <w:rFonts w:hint="eastAsia" w:ascii="宋体" w:hAnsi="宋体"/>
                <w:color w:val="000000"/>
                <w:sz w:val="24"/>
              </w:rPr>
              <w:t>120</w:t>
            </w:r>
          </w:p>
        </w:tc>
        <w:tc>
          <w:tcPr>
            <w:tcW w:w="992" w:type="dxa"/>
            <w:vAlign w:val="center"/>
          </w:tcPr>
          <w:p>
            <w:pPr>
              <w:jc w:val="center"/>
              <w:rPr>
                <w:rFonts w:ascii="宋体" w:hAnsi="宋体"/>
                <w:color w:val="000000"/>
                <w:sz w:val="24"/>
              </w:rPr>
            </w:pPr>
            <w:r>
              <w:rPr>
                <w:rFonts w:hint="eastAsia" w:ascii="宋体" w:hAnsi="宋体"/>
                <w:color w:val="000000"/>
                <w:sz w:val="24"/>
              </w:rPr>
              <w:t>6%</w:t>
            </w:r>
          </w:p>
        </w:tc>
        <w:tc>
          <w:tcPr>
            <w:tcW w:w="1276" w:type="dxa"/>
            <w:vAlign w:val="center"/>
          </w:tcPr>
          <w:p>
            <w:pPr>
              <w:jc w:val="center"/>
              <w:rPr>
                <w:rFonts w:ascii="宋体" w:hAnsi="宋体"/>
                <w:color w:val="000000"/>
                <w:sz w:val="24"/>
              </w:rPr>
            </w:pPr>
            <w:r>
              <w:rPr>
                <w:rFonts w:hint="eastAsia" w:ascii="宋体" w:hAnsi="宋体"/>
                <w:color w:val="000000"/>
                <w:sz w:val="24"/>
              </w:rPr>
              <w:t>7.2</w:t>
            </w:r>
          </w:p>
        </w:tc>
        <w:tc>
          <w:tcPr>
            <w:tcW w:w="1418" w:type="dxa"/>
            <w:vAlign w:val="center"/>
          </w:tcPr>
          <w:p>
            <w:pPr>
              <w:jc w:val="center"/>
              <w:rPr>
                <w:rFonts w:ascii="宋体" w:hAnsi="宋体"/>
                <w:color w:val="000000"/>
                <w:sz w:val="24"/>
              </w:rPr>
            </w:pPr>
            <w:r>
              <w:rPr>
                <w:rFonts w:hint="eastAsia" w:ascii="宋体" w:hAnsi="宋体"/>
                <w:color w:val="000000"/>
                <w:sz w:val="24"/>
              </w:rPr>
              <w:t>某小型企业</w:t>
            </w:r>
          </w:p>
        </w:tc>
        <w:tc>
          <w:tcPr>
            <w:tcW w:w="1197"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3" w:type="dxa"/>
            <w:vAlign w:val="center"/>
          </w:tcPr>
          <w:p>
            <w:pPr>
              <w:jc w:val="center"/>
              <w:rPr>
                <w:rFonts w:ascii="宋体" w:hAnsi="宋体"/>
                <w:color w:val="000000"/>
                <w:sz w:val="24"/>
              </w:rPr>
            </w:pPr>
            <w:r>
              <w:rPr>
                <w:rFonts w:hint="eastAsia" w:ascii="宋体" w:hAnsi="宋体"/>
                <w:color w:val="000000"/>
                <w:sz w:val="24"/>
              </w:rPr>
              <w:t>3</w:t>
            </w:r>
          </w:p>
        </w:tc>
        <w:tc>
          <w:tcPr>
            <w:tcW w:w="1400" w:type="dxa"/>
            <w:vAlign w:val="center"/>
          </w:tcPr>
          <w:p>
            <w:pPr>
              <w:jc w:val="center"/>
              <w:rPr>
                <w:rFonts w:ascii="宋体" w:hAnsi="宋体"/>
                <w:color w:val="000000"/>
                <w:sz w:val="24"/>
              </w:rPr>
            </w:pPr>
            <w:r>
              <w:rPr>
                <w:rFonts w:hint="eastAsia" w:ascii="宋体" w:hAnsi="宋体"/>
                <w:color w:val="000000"/>
                <w:sz w:val="24"/>
              </w:rPr>
              <w:t>C</w:t>
            </w:r>
          </w:p>
        </w:tc>
        <w:tc>
          <w:tcPr>
            <w:tcW w:w="850" w:type="dxa"/>
            <w:vAlign w:val="center"/>
          </w:tcPr>
          <w:p>
            <w:pPr>
              <w:jc w:val="center"/>
              <w:rPr>
                <w:rFonts w:ascii="宋体" w:hAnsi="宋体"/>
                <w:color w:val="000000"/>
                <w:sz w:val="24"/>
              </w:rPr>
            </w:pPr>
            <w:r>
              <w:rPr>
                <w:rFonts w:hint="eastAsia" w:ascii="宋体" w:hAnsi="宋体"/>
                <w:color w:val="000000"/>
                <w:sz w:val="24"/>
              </w:rPr>
              <w:t>2</w:t>
            </w:r>
          </w:p>
        </w:tc>
        <w:tc>
          <w:tcPr>
            <w:tcW w:w="851" w:type="dxa"/>
            <w:vAlign w:val="center"/>
          </w:tcPr>
          <w:p>
            <w:pPr>
              <w:jc w:val="center"/>
              <w:rPr>
                <w:rFonts w:ascii="宋体" w:hAnsi="宋体"/>
                <w:color w:val="000000"/>
                <w:sz w:val="24"/>
              </w:rPr>
            </w:pPr>
            <w:r>
              <w:rPr>
                <w:rFonts w:hint="eastAsia" w:ascii="宋体" w:hAnsi="宋体"/>
                <w:color w:val="000000"/>
                <w:sz w:val="24"/>
              </w:rPr>
              <w:t>50</w:t>
            </w:r>
          </w:p>
        </w:tc>
        <w:tc>
          <w:tcPr>
            <w:tcW w:w="992" w:type="dxa"/>
            <w:vAlign w:val="center"/>
          </w:tcPr>
          <w:p>
            <w:pPr>
              <w:jc w:val="center"/>
              <w:rPr>
                <w:rFonts w:ascii="宋体" w:hAnsi="宋体"/>
                <w:color w:val="000000"/>
                <w:sz w:val="24"/>
              </w:rPr>
            </w:pPr>
            <w:r>
              <w:rPr>
                <w:rFonts w:hint="eastAsia" w:ascii="宋体" w:hAnsi="宋体"/>
                <w:color w:val="000000"/>
                <w:sz w:val="24"/>
              </w:rPr>
              <w:t>100</w:t>
            </w:r>
          </w:p>
        </w:tc>
        <w:tc>
          <w:tcPr>
            <w:tcW w:w="992" w:type="dxa"/>
            <w:vAlign w:val="center"/>
          </w:tcPr>
          <w:p>
            <w:pPr>
              <w:jc w:val="center"/>
              <w:rPr>
                <w:rFonts w:ascii="宋体" w:hAnsi="宋体"/>
                <w:color w:val="000000"/>
                <w:sz w:val="24"/>
              </w:rPr>
            </w:pPr>
            <w:r>
              <w:rPr>
                <w:rFonts w:hint="eastAsia" w:ascii="宋体" w:hAnsi="宋体"/>
                <w:color w:val="000000"/>
                <w:sz w:val="24"/>
              </w:rPr>
              <w:t>8%</w:t>
            </w:r>
          </w:p>
        </w:tc>
        <w:tc>
          <w:tcPr>
            <w:tcW w:w="1276" w:type="dxa"/>
            <w:vAlign w:val="center"/>
          </w:tcPr>
          <w:p>
            <w:pPr>
              <w:jc w:val="center"/>
              <w:rPr>
                <w:rFonts w:ascii="宋体" w:hAnsi="宋体"/>
                <w:color w:val="000000"/>
                <w:sz w:val="24"/>
              </w:rPr>
            </w:pPr>
            <w:r>
              <w:rPr>
                <w:rFonts w:hint="eastAsia" w:ascii="宋体" w:hAnsi="宋体"/>
                <w:color w:val="000000"/>
                <w:sz w:val="24"/>
              </w:rPr>
              <w:t>8</w:t>
            </w:r>
          </w:p>
        </w:tc>
        <w:tc>
          <w:tcPr>
            <w:tcW w:w="1418" w:type="dxa"/>
            <w:vAlign w:val="center"/>
          </w:tcPr>
          <w:p>
            <w:pPr>
              <w:jc w:val="center"/>
              <w:rPr>
                <w:rFonts w:ascii="宋体" w:hAnsi="宋体"/>
                <w:color w:val="000000"/>
                <w:sz w:val="24"/>
              </w:rPr>
            </w:pPr>
          </w:p>
        </w:tc>
        <w:tc>
          <w:tcPr>
            <w:tcW w:w="1197" w:type="dxa"/>
            <w:vMerge w:val="continue"/>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133" w:type="dxa"/>
            <w:gridSpan w:val="2"/>
            <w:vAlign w:val="center"/>
          </w:tcPr>
          <w:p>
            <w:pPr>
              <w:jc w:val="center"/>
              <w:rPr>
                <w:rFonts w:ascii="宋体" w:hAnsi="宋体"/>
                <w:b/>
                <w:color w:val="000000"/>
                <w:sz w:val="24"/>
              </w:rPr>
            </w:pPr>
            <w:r>
              <w:rPr>
                <w:rFonts w:hint="eastAsia" w:ascii="宋体" w:hAnsi="宋体"/>
                <w:b/>
                <w:color w:val="000000"/>
                <w:sz w:val="24"/>
              </w:rPr>
              <w:t>合计</w:t>
            </w:r>
          </w:p>
        </w:tc>
        <w:tc>
          <w:tcPr>
            <w:tcW w:w="850" w:type="dxa"/>
            <w:vAlign w:val="center"/>
          </w:tcPr>
          <w:p>
            <w:pPr>
              <w:jc w:val="center"/>
              <w:rPr>
                <w:rFonts w:ascii="宋体" w:hAnsi="宋体"/>
                <w:color w:val="000000"/>
                <w:sz w:val="24"/>
              </w:rPr>
            </w:pPr>
            <w:r>
              <w:rPr>
                <w:rFonts w:hint="eastAsia" w:ascii="宋体" w:hAnsi="宋体"/>
                <w:color w:val="000000"/>
                <w:sz w:val="24"/>
              </w:rPr>
              <w:t>/</w:t>
            </w:r>
          </w:p>
        </w:tc>
        <w:tc>
          <w:tcPr>
            <w:tcW w:w="851" w:type="dxa"/>
            <w:vAlign w:val="center"/>
          </w:tcPr>
          <w:p>
            <w:pPr>
              <w:jc w:val="center"/>
              <w:rPr>
                <w:rFonts w:ascii="宋体" w:hAnsi="宋体"/>
                <w:color w:val="000000"/>
                <w:sz w:val="24"/>
              </w:rPr>
            </w:pPr>
            <w:r>
              <w:rPr>
                <w:rFonts w:hint="eastAsia" w:ascii="宋体" w:hAnsi="宋体"/>
                <w:color w:val="000000"/>
                <w:sz w:val="24"/>
              </w:rPr>
              <w:t>/</w:t>
            </w:r>
          </w:p>
        </w:tc>
        <w:tc>
          <w:tcPr>
            <w:tcW w:w="992" w:type="dxa"/>
            <w:vAlign w:val="center"/>
          </w:tcPr>
          <w:p>
            <w:pPr>
              <w:jc w:val="center"/>
              <w:rPr>
                <w:rFonts w:ascii="宋体" w:hAnsi="宋体"/>
                <w:color w:val="000000"/>
                <w:sz w:val="24"/>
              </w:rPr>
            </w:pPr>
            <w:r>
              <w:rPr>
                <w:rFonts w:hint="eastAsia" w:ascii="宋体" w:hAnsi="宋体"/>
                <w:color w:val="000000"/>
                <w:sz w:val="24"/>
              </w:rPr>
              <w:t>270</w:t>
            </w:r>
          </w:p>
        </w:tc>
        <w:tc>
          <w:tcPr>
            <w:tcW w:w="992" w:type="dxa"/>
            <w:vAlign w:val="center"/>
          </w:tcPr>
          <w:p>
            <w:pPr>
              <w:jc w:val="center"/>
              <w:rPr>
                <w:rFonts w:ascii="宋体" w:hAnsi="宋体"/>
                <w:color w:val="000000"/>
                <w:sz w:val="24"/>
              </w:rPr>
            </w:pPr>
            <w:r>
              <w:rPr>
                <w:rFonts w:hint="eastAsia" w:ascii="宋体" w:hAnsi="宋体"/>
                <w:color w:val="000000"/>
                <w:sz w:val="24"/>
              </w:rPr>
              <w:t>/</w:t>
            </w:r>
          </w:p>
        </w:tc>
        <w:tc>
          <w:tcPr>
            <w:tcW w:w="1276" w:type="dxa"/>
            <w:vAlign w:val="center"/>
          </w:tcPr>
          <w:p>
            <w:pPr>
              <w:jc w:val="center"/>
              <w:rPr>
                <w:rFonts w:ascii="宋体" w:hAnsi="宋体"/>
                <w:color w:val="000000"/>
                <w:sz w:val="24"/>
              </w:rPr>
            </w:pPr>
            <w:r>
              <w:rPr>
                <w:rFonts w:hint="eastAsia" w:ascii="宋体" w:hAnsi="宋体"/>
                <w:color w:val="000000"/>
                <w:sz w:val="24"/>
              </w:rPr>
              <w:t>16.7</w:t>
            </w:r>
          </w:p>
        </w:tc>
        <w:tc>
          <w:tcPr>
            <w:tcW w:w="1418" w:type="dxa"/>
            <w:vAlign w:val="center"/>
          </w:tcPr>
          <w:p>
            <w:pPr>
              <w:jc w:val="center"/>
              <w:rPr>
                <w:rFonts w:ascii="宋体" w:hAnsi="宋体"/>
                <w:color w:val="000000"/>
                <w:sz w:val="24"/>
              </w:rPr>
            </w:pPr>
            <w:r>
              <w:rPr>
                <w:rFonts w:hint="eastAsia" w:ascii="宋体" w:hAnsi="宋体"/>
                <w:color w:val="000000"/>
                <w:sz w:val="24"/>
              </w:rPr>
              <w:t>/</w:t>
            </w:r>
          </w:p>
        </w:tc>
        <w:tc>
          <w:tcPr>
            <w:tcW w:w="1197" w:type="dxa"/>
            <w:vAlign w:val="center"/>
          </w:tcPr>
          <w:p>
            <w:pPr>
              <w:jc w:val="center"/>
              <w:rPr>
                <w:rFonts w:ascii="宋体" w:hAnsi="宋体"/>
                <w:color w:val="000000"/>
                <w:sz w:val="24"/>
              </w:rPr>
            </w:pPr>
            <w:r>
              <w:rPr>
                <w:rFonts w:hint="eastAsia" w:ascii="宋体" w:hAnsi="宋体"/>
                <w:color w:val="000000"/>
                <w:sz w:val="24"/>
              </w:rPr>
              <w:t>/</w:t>
            </w:r>
          </w:p>
        </w:tc>
      </w:tr>
    </w:tbl>
    <w:p>
      <w:pPr>
        <w:tabs>
          <w:tab w:val="left" w:pos="4620"/>
        </w:tabs>
        <w:spacing w:line="360" w:lineRule="auto"/>
        <w:ind w:firstLine="4269" w:firstLineChars="1772"/>
        <w:rPr>
          <w:rFonts w:ascii="宋体"/>
          <w:sz w:val="24"/>
          <w:u w:val="single"/>
        </w:rPr>
      </w:pPr>
      <w:r>
        <w:rPr>
          <w:rFonts w:hint="eastAsia" w:ascii="宋体" w:hAnsi="宋体"/>
          <w:b/>
          <w:color w:val="000000"/>
          <w:sz w:val="24"/>
        </w:rPr>
        <w:t>投标供应商投标总价为600元，评审价格为600-16.7=583.3元。</w:t>
      </w:r>
    </w:p>
    <w:p>
      <w:pPr>
        <w:tabs>
          <w:tab w:val="left" w:pos="4620"/>
        </w:tabs>
        <w:spacing w:line="360" w:lineRule="auto"/>
        <w:ind w:firstLine="4252" w:firstLineChars="1772"/>
        <w:rPr>
          <w:rFonts w:ascii="宋体"/>
          <w:sz w:val="24"/>
          <w:u w:val="single"/>
        </w:rPr>
      </w:pPr>
    </w:p>
    <w:p>
      <w:pPr>
        <w:tabs>
          <w:tab w:val="left" w:pos="4620"/>
        </w:tabs>
        <w:spacing w:line="360" w:lineRule="auto"/>
        <w:jc w:val="left"/>
        <w:rPr>
          <w:rFonts w:ascii="宋体"/>
          <w:sz w:val="24"/>
        </w:rPr>
      </w:pPr>
      <w:r>
        <w:rPr>
          <w:rFonts w:hint="eastAsia" w:ascii="宋体"/>
          <w:sz w:val="24"/>
        </w:rPr>
        <w:br w:type="page"/>
      </w:r>
      <w:r>
        <w:rPr>
          <w:rFonts w:hint="eastAsia" w:ascii="宋体"/>
          <w:sz w:val="24"/>
        </w:rPr>
        <w:t>附件：</w:t>
      </w:r>
    </w:p>
    <w:p>
      <w:pPr>
        <w:spacing w:line="360" w:lineRule="auto"/>
        <w:jc w:val="center"/>
        <w:rPr>
          <w:rFonts w:ascii="宋体" w:hAnsi="宋体"/>
          <w:b/>
          <w:sz w:val="28"/>
          <w:szCs w:val="28"/>
        </w:rPr>
      </w:pPr>
      <w:r>
        <w:rPr>
          <w:rFonts w:hint="eastAsia" w:ascii="宋体" w:hAnsi="宋体"/>
          <w:b/>
          <w:sz w:val="28"/>
          <w:szCs w:val="28"/>
        </w:rPr>
        <w:t>中小企业声明函</w:t>
      </w:r>
    </w:p>
    <w:p>
      <w:pPr>
        <w:tabs>
          <w:tab w:val="left" w:pos="4620"/>
        </w:tabs>
        <w:spacing w:line="360" w:lineRule="auto"/>
        <w:ind w:firstLine="4252" w:firstLineChars="1772"/>
        <w:rPr>
          <w:rFonts w:ascii="宋体"/>
          <w:sz w:val="24"/>
          <w:u w:val="single"/>
        </w:rPr>
      </w:pPr>
    </w:p>
    <w:p>
      <w:pPr>
        <w:autoSpaceDE w:val="0"/>
        <w:autoSpaceDN w:val="0"/>
        <w:spacing w:line="480" w:lineRule="auto"/>
        <w:ind w:left="80" w:leftChars="38" w:right="40" w:firstLine="480" w:firstLineChars="200"/>
        <w:rPr>
          <w:rFonts w:ascii="宋体"/>
          <w:sz w:val="24"/>
          <w:lang w:val="zh-CN"/>
        </w:rPr>
      </w:pPr>
      <w:r>
        <w:rPr>
          <w:rFonts w:hint="eastAsia" w:ascii="宋体" w:hAnsi="宋体"/>
          <w:sz w:val="24"/>
          <w:lang w:val="zh-CN"/>
        </w:rPr>
        <w:t>本单位郑重声明，根据《政府采购促进中小企业发展暂行办法》（财库〔</w:t>
      </w:r>
      <w:r>
        <w:rPr>
          <w:rFonts w:ascii="宋体" w:hAnsi="宋体"/>
          <w:sz w:val="24"/>
          <w:lang w:val="zh-CN"/>
        </w:rPr>
        <w:t>2011</w:t>
      </w:r>
      <w:r>
        <w:rPr>
          <w:rFonts w:hint="eastAsia" w:ascii="宋体" w:hAnsi="宋体"/>
          <w:sz w:val="24"/>
          <w:lang w:val="zh-CN"/>
        </w:rPr>
        <w:t>〕</w:t>
      </w:r>
      <w:r>
        <w:rPr>
          <w:rFonts w:ascii="宋体" w:hAnsi="宋体"/>
          <w:sz w:val="24"/>
          <w:lang w:val="zh-CN"/>
        </w:rPr>
        <w:t>181</w:t>
      </w:r>
      <w:r>
        <w:rPr>
          <w:rFonts w:hint="eastAsia" w:ascii="宋体" w:hAnsi="宋体"/>
          <w:sz w:val="24"/>
          <w:lang w:val="zh-CN"/>
        </w:rPr>
        <w:t>号）的规定，本单位为</w:t>
      </w:r>
      <w:r>
        <w:rPr>
          <w:rFonts w:ascii="宋体" w:hAnsi="宋体"/>
          <w:sz w:val="24"/>
          <w:lang w:val="zh-CN"/>
        </w:rPr>
        <w:t>______</w:t>
      </w:r>
      <w:r>
        <w:rPr>
          <w:rFonts w:hint="eastAsia" w:ascii="宋体" w:hAnsi="宋体"/>
          <w:sz w:val="24"/>
          <w:lang w:val="zh-CN"/>
        </w:rPr>
        <w:t>（请填写：中型、小型、微型）企业。即，本单位同时满足以下条件：</w:t>
      </w:r>
    </w:p>
    <w:p>
      <w:pPr>
        <w:autoSpaceDE w:val="0"/>
        <w:autoSpaceDN w:val="0"/>
        <w:spacing w:line="480" w:lineRule="auto"/>
        <w:ind w:left="80" w:leftChars="38" w:right="40" w:firstLine="480" w:firstLineChars="200"/>
        <w:rPr>
          <w:rFonts w:ascii="宋体"/>
          <w:sz w:val="24"/>
          <w:lang w:val="zh-CN"/>
        </w:rPr>
      </w:pPr>
      <w:r>
        <w:rPr>
          <w:rFonts w:ascii="宋体" w:hAnsi="宋体"/>
          <w:sz w:val="24"/>
          <w:lang w:val="zh-CN"/>
        </w:rPr>
        <w:t>1</w:t>
      </w:r>
      <w:r>
        <w:rPr>
          <w:rFonts w:hint="eastAsia" w:ascii="宋体" w:hAnsi="宋体"/>
          <w:sz w:val="24"/>
          <w:lang w:val="zh-CN"/>
        </w:rPr>
        <w:t>、根据《工业和信息化部、国家统计局、国家发展和改革委员会、财政部关于印发中小企业划型标准规定的通知》（工信部联企业〔</w:t>
      </w:r>
      <w:r>
        <w:rPr>
          <w:rFonts w:ascii="宋体" w:hAnsi="宋体"/>
          <w:sz w:val="24"/>
          <w:lang w:val="zh-CN"/>
        </w:rPr>
        <w:t>2011</w:t>
      </w:r>
      <w:r>
        <w:rPr>
          <w:rFonts w:hint="eastAsia" w:ascii="宋体" w:hAnsi="宋体"/>
          <w:sz w:val="24"/>
          <w:lang w:val="zh-CN"/>
        </w:rPr>
        <w:t>〕</w:t>
      </w:r>
      <w:r>
        <w:rPr>
          <w:rFonts w:ascii="宋体" w:hAnsi="宋体"/>
          <w:sz w:val="24"/>
          <w:lang w:val="zh-CN"/>
        </w:rPr>
        <w:t>300</w:t>
      </w:r>
      <w:r>
        <w:rPr>
          <w:rFonts w:hint="eastAsia" w:ascii="宋体" w:hAnsi="宋体"/>
          <w:sz w:val="24"/>
          <w:lang w:val="zh-CN"/>
        </w:rPr>
        <w:t>号）规定的划分标准，本单位为</w:t>
      </w:r>
      <w:r>
        <w:rPr>
          <w:rFonts w:ascii="宋体" w:hAnsi="宋体"/>
          <w:sz w:val="24"/>
          <w:lang w:val="zh-CN"/>
        </w:rPr>
        <w:t>______</w:t>
      </w:r>
      <w:r>
        <w:rPr>
          <w:rFonts w:hint="eastAsia" w:ascii="宋体" w:hAnsi="宋体"/>
          <w:sz w:val="24"/>
          <w:lang w:val="zh-CN"/>
        </w:rPr>
        <w:t>（请填写：中型、小型、微型）企业。</w:t>
      </w:r>
    </w:p>
    <w:p>
      <w:pPr>
        <w:autoSpaceDE w:val="0"/>
        <w:autoSpaceDN w:val="0"/>
        <w:spacing w:line="480" w:lineRule="auto"/>
        <w:ind w:left="80" w:leftChars="38" w:right="40" w:firstLine="480" w:firstLineChars="200"/>
        <w:rPr>
          <w:rFonts w:ascii="宋体" w:hAnsi="宋体"/>
          <w:sz w:val="24"/>
          <w:lang w:val="zh-CN"/>
        </w:rPr>
      </w:pPr>
      <w:r>
        <w:rPr>
          <w:rFonts w:ascii="宋体" w:hAnsi="宋体"/>
          <w:sz w:val="24"/>
          <w:lang w:val="zh-CN"/>
        </w:rPr>
        <w:t>2</w:t>
      </w:r>
      <w:r>
        <w:rPr>
          <w:rFonts w:hint="eastAsia" w:ascii="宋体" w:hAnsi="宋体"/>
          <w:sz w:val="24"/>
          <w:lang w:val="zh-CN"/>
        </w:rPr>
        <w:t>、</w:t>
      </w:r>
      <w:r>
        <w:rPr>
          <w:rFonts w:ascii="Arial" w:hAnsi="Arial" w:cs="Arial"/>
          <w:kern w:val="0"/>
          <w:sz w:val="24"/>
        </w:rPr>
        <w:t>本</w:t>
      </w:r>
      <w:r>
        <w:rPr>
          <w:rFonts w:hint="eastAsia" w:ascii="Arial" w:hAnsi="Arial" w:cs="Arial"/>
          <w:kern w:val="0"/>
          <w:sz w:val="24"/>
        </w:rPr>
        <w:t>单位</w:t>
      </w:r>
      <w:r>
        <w:rPr>
          <w:rFonts w:ascii="Arial" w:hAnsi="Arial" w:cs="Arial"/>
          <w:kern w:val="0"/>
          <w:sz w:val="24"/>
        </w:rPr>
        <w:t>参加</w:t>
      </w:r>
      <w:r>
        <w:rPr>
          <w:rFonts w:hint="eastAsia" w:ascii="Arial" w:hAnsi="Arial" w:cs="Arial"/>
          <w:kern w:val="0"/>
          <w:sz w:val="24"/>
          <w:u w:val="single"/>
        </w:rPr>
        <w:t>（采购人全称）</w:t>
      </w:r>
      <w:r>
        <w:rPr>
          <w:rFonts w:ascii="Arial" w:hAnsi="Arial" w:cs="Arial"/>
          <w:kern w:val="0"/>
          <w:sz w:val="24"/>
        </w:rPr>
        <w:t>的</w:t>
      </w:r>
      <w:r>
        <w:rPr>
          <w:rFonts w:hint="eastAsia" w:ascii="Arial" w:hAnsi="Arial" w:cs="Arial"/>
          <w:kern w:val="0"/>
          <w:sz w:val="24"/>
          <w:u w:val="single"/>
        </w:rPr>
        <w:t>（项目名称）</w:t>
      </w:r>
      <w:r>
        <w:rPr>
          <w:rFonts w:ascii="Arial" w:hAnsi="Arial" w:cs="Arial"/>
          <w:kern w:val="0"/>
          <w:sz w:val="24"/>
        </w:rPr>
        <w:t>项目采购活动</w:t>
      </w:r>
      <w:r>
        <w:rPr>
          <w:rFonts w:hint="eastAsia" w:ascii="Arial" w:hAnsi="Arial" w:cs="Arial"/>
          <w:kern w:val="0"/>
          <w:sz w:val="24"/>
          <w:u w:val="single"/>
        </w:rPr>
        <w:t>（项目编号）</w:t>
      </w:r>
      <w:r>
        <w:rPr>
          <w:rFonts w:ascii="Arial" w:hAnsi="Arial" w:cs="Arial"/>
          <w:kern w:val="0"/>
          <w:sz w:val="24"/>
        </w:rPr>
        <w:t>提供本企业制造的货物，由本企业承担工程、提供服务，或者提供其他（请填写：中型、小型、微型）企业制造的货物。本条所称货物不包括使用大型企业注册商标的货物</w:t>
      </w:r>
      <w:r>
        <w:rPr>
          <w:rFonts w:hint="eastAsia" w:ascii="宋体" w:hAnsi="宋体"/>
          <w:sz w:val="24"/>
          <w:lang w:val="zh-CN"/>
        </w:rPr>
        <w:t>。</w:t>
      </w:r>
    </w:p>
    <w:p>
      <w:pPr>
        <w:tabs>
          <w:tab w:val="left" w:pos="4620"/>
        </w:tabs>
        <w:spacing w:line="360" w:lineRule="auto"/>
        <w:ind w:firstLine="600" w:firstLineChars="250"/>
        <w:rPr>
          <w:rFonts w:ascii="宋体"/>
          <w:sz w:val="24"/>
        </w:rPr>
      </w:pPr>
      <w:r>
        <w:rPr>
          <w:rFonts w:hint="eastAsia" w:ascii="宋体" w:hAnsi="宋体"/>
          <w:sz w:val="24"/>
          <w:lang w:val="zh-CN"/>
        </w:rPr>
        <w:t>本公司对上述声明的真实性负责。如有虚假，将依法承担相应责任。</w:t>
      </w:r>
    </w:p>
    <w:p>
      <w:pPr>
        <w:autoSpaceDE w:val="0"/>
        <w:autoSpaceDN w:val="0"/>
        <w:spacing w:line="480" w:lineRule="auto"/>
        <w:ind w:left="80" w:leftChars="38" w:right="40" w:firstLine="480" w:firstLineChars="200"/>
        <w:rPr>
          <w:rFonts w:ascii="宋体"/>
          <w:sz w:val="24"/>
          <w:lang w:val="zh-CN"/>
        </w:rPr>
      </w:pPr>
    </w:p>
    <w:p>
      <w:pPr>
        <w:spacing w:line="360" w:lineRule="auto"/>
        <w:ind w:firstLine="4245" w:firstLineChars="1762"/>
        <w:rPr>
          <w:rFonts w:ascii="宋体"/>
          <w:b/>
          <w:sz w:val="24"/>
          <w:u w:val="single"/>
        </w:rPr>
      </w:pPr>
      <w:r>
        <w:rPr>
          <w:rFonts w:hint="eastAsia" w:ascii="宋体" w:hAnsi="宋体"/>
          <w:b/>
          <w:sz w:val="24"/>
        </w:rPr>
        <w:t>声明人公章：</w:t>
      </w:r>
    </w:p>
    <w:p>
      <w:pPr>
        <w:tabs>
          <w:tab w:val="left" w:pos="4620"/>
        </w:tabs>
        <w:spacing w:line="360" w:lineRule="auto"/>
        <w:ind w:firstLine="4269" w:firstLineChars="1772"/>
        <w:rPr>
          <w:rFonts w:ascii="宋体" w:hAnsi="宋体"/>
          <w:b/>
          <w:sz w:val="24"/>
          <w:u w:val="single"/>
        </w:rPr>
      </w:pPr>
      <w:r>
        <w:rPr>
          <w:rFonts w:hint="eastAsia" w:ascii="宋体" w:hAnsi="宋体"/>
          <w:b/>
          <w:sz w:val="24"/>
        </w:rPr>
        <w:t>日期：</w:t>
      </w:r>
    </w:p>
    <w:p>
      <w:pPr>
        <w:widowControl/>
        <w:shd w:val="clear" w:color="auto" w:fill="FFFFFF"/>
        <w:spacing w:before="300" w:after="225" w:line="360" w:lineRule="atLeast"/>
        <w:jc w:val="left"/>
        <w:rPr>
          <w:rFonts w:ascii="Arial" w:hAnsi="Arial" w:cs="Arial"/>
        </w:rPr>
      </w:pPr>
    </w:p>
    <w:p>
      <w:pPr>
        <w:pStyle w:val="5"/>
        <w:jc w:val="center"/>
        <w:rPr>
          <w:rFonts w:ascii="宋体" w:hAnsi="宋体" w:cs="宋体"/>
          <w:bCs w:val="0"/>
          <w:highlight w:val="white"/>
        </w:rPr>
      </w:pPr>
      <w:r>
        <w:rPr>
          <w:rFonts w:hint="eastAsia" w:ascii="宋体" w:hAnsi="宋体" w:cs="宋体"/>
          <w:bCs w:val="0"/>
          <w:highlight w:val="white"/>
        </w:rPr>
        <w:br w:type="page"/>
      </w:r>
      <w:r>
        <w:rPr>
          <w:rFonts w:hint="eastAsia" w:ascii="宋体" w:hAnsi="宋体" w:cs="宋体"/>
          <w:bCs w:val="0"/>
          <w:highlight w:val="white"/>
        </w:rPr>
        <w:t>（二）监狱企业证明文件</w:t>
      </w:r>
    </w:p>
    <w:p>
      <w:pPr>
        <w:jc w:val="center"/>
      </w:pPr>
      <w:r>
        <w:rPr>
          <w:rFonts w:hint="eastAsia" w:ascii="宋体" w:hAnsi="宋体" w:cs="宋体"/>
          <w:b/>
          <w:bCs/>
          <w:sz w:val="32"/>
          <w:szCs w:val="32"/>
          <w:highlight w:val="white"/>
        </w:rPr>
        <w:t>（非监狱企业投标，不需提供）</w:t>
      </w:r>
    </w:p>
    <w:p/>
    <w:p/>
    <w:p/>
    <w:p>
      <w:r>
        <w:rPr>
          <w:rFonts w:hint="eastAsia"/>
        </w:rPr>
        <w:t>备注：按竞争性磋商文件要求提供加盖声明单位公章的省级以上监狱管理局、戒毒管理局（含新疆建设生产兵团）出具的属于监狱企业的证明文件，不再提供《中小企业声明函》，不重复享受政策。</w:t>
      </w:r>
    </w:p>
    <w:p/>
    <w:p>
      <w:pPr>
        <w:widowControl/>
        <w:shd w:val="clear" w:color="auto" w:fill="FFFFFF"/>
        <w:spacing w:before="300" w:after="225" w:line="360" w:lineRule="atLeast"/>
        <w:ind w:firstLine="420"/>
        <w:jc w:val="center"/>
      </w:pPr>
      <w:r>
        <w:rPr>
          <w:rFonts w:hint="eastAsia"/>
        </w:rPr>
        <w:t>附表2      监狱企业产品投标明细表（人民币单位：元）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68" w:type="dxa"/>
            <w:shd w:val="clear" w:color="auto" w:fill="auto"/>
          </w:tcPr>
          <w:p>
            <w:pPr>
              <w:widowControl/>
              <w:spacing w:before="300" w:after="225" w:line="360" w:lineRule="atLeast"/>
              <w:jc w:val="center"/>
            </w:pPr>
            <w:r>
              <w:rPr>
                <w:rFonts w:hint="eastAsia"/>
              </w:rPr>
              <w:t>序号</w:t>
            </w:r>
          </w:p>
        </w:tc>
        <w:tc>
          <w:tcPr>
            <w:tcW w:w="1106" w:type="dxa"/>
            <w:shd w:val="clear" w:color="auto" w:fill="auto"/>
          </w:tcPr>
          <w:p>
            <w:pPr>
              <w:widowControl/>
              <w:spacing w:before="300" w:after="225" w:line="360" w:lineRule="atLeast"/>
              <w:jc w:val="center"/>
            </w:pPr>
            <w:r>
              <w:rPr>
                <w:rFonts w:hint="eastAsia"/>
              </w:rPr>
              <w:t>产品名称</w:t>
            </w:r>
          </w:p>
        </w:tc>
        <w:tc>
          <w:tcPr>
            <w:tcW w:w="1069" w:type="dxa"/>
            <w:shd w:val="clear" w:color="auto" w:fill="auto"/>
          </w:tcPr>
          <w:p>
            <w:pPr>
              <w:widowControl/>
              <w:spacing w:before="300" w:after="225" w:line="360" w:lineRule="atLeast"/>
              <w:jc w:val="center"/>
            </w:pPr>
            <w:r>
              <w:rPr>
                <w:rFonts w:hint="eastAsia"/>
              </w:rPr>
              <w:t>数量/单位</w:t>
            </w:r>
          </w:p>
        </w:tc>
        <w:tc>
          <w:tcPr>
            <w:tcW w:w="994" w:type="dxa"/>
            <w:shd w:val="clear" w:color="auto" w:fill="auto"/>
          </w:tcPr>
          <w:p>
            <w:pPr>
              <w:widowControl/>
              <w:spacing w:before="300" w:after="225" w:line="360" w:lineRule="atLeast"/>
              <w:jc w:val="center"/>
            </w:pPr>
            <w:r>
              <w:rPr>
                <w:rFonts w:hint="eastAsia"/>
              </w:rPr>
              <w:t>单价</w:t>
            </w:r>
          </w:p>
        </w:tc>
        <w:tc>
          <w:tcPr>
            <w:tcW w:w="975" w:type="dxa"/>
            <w:shd w:val="clear" w:color="auto" w:fill="auto"/>
          </w:tcPr>
          <w:p>
            <w:pPr>
              <w:widowControl/>
              <w:spacing w:before="300" w:after="225" w:line="360" w:lineRule="atLeast"/>
              <w:jc w:val="center"/>
            </w:pPr>
            <w:r>
              <w:rPr>
                <w:rFonts w:hint="eastAsia"/>
              </w:rPr>
              <w:t>合价</w:t>
            </w:r>
          </w:p>
        </w:tc>
        <w:tc>
          <w:tcPr>
            <w:tcW w:w="918" w:type="dxa"/>
            <w:shd w:val="clear" w:color="auto" w:fill="auto"/>
          </w:tcPr>
          <w:p>
            <w:pPr>
              <w:widowControl/>
              <w:spacing w:before="300" w:after="225" w:line="360" w:lineRule="atLeast"/>
              <w:jc w:val="center"/>
            </w:pPr>
            <w:r>
              <w:rPr>
                <w:rFonts w:hint="eastAsia"/>
              </w:rPr>
              <w:t>价格扣除比例</w:t>
            </w:r>
          </w:p>
        </w:tc>
        <w:tc>
          <w:tcPr>
            <w:tcW w:w="900" w:type="dxa"/>
            <w:shd w:val="clear" w:color="auto" w:fill="auto"/>
          </w:tcPr>
          <w:p>
            <w:pPr>
              <w:widowControl/>
              <w:spacing w:before="300" w:after="225" w:line="360" w:lineRule="atLeast"/>
              <w:jc w:val="center"/>
            </w:pPr>
            <w:r>
              <w:rPr>
                <w:rFonts w:hint="eastAsia"/>
              </w:rPr>
              <w:t>扣除价格</w:t>
            </w:r>
          </w:p>
        </w:tc>
        <w:tc>
          <w:tcPr>
            <w:tcW w:w="2269" w:type="dxa"/>
            <w:shd w:val="clear" w:color="auto" w:fill="auto"/>
          </w:tcPr>
          <w:p>
            <w:pPr>
              <w:widowControl/>
              <w:spacing w:before="300" w:after="225" w:line="360" w:lineRule="atLeast"/>
              <w:jc w:val="center"/>
            </w:pPr>
            <w:r>
              <w:rPr>
                <w:rFonts w:hint="eastAsia"/>
              </w:rPr>
              <w:t>制造商（填写制造商名称）</w:t>
            </w:r>
          </w:p>
        </w:tc>
        <w:tc>
          <w:tcPr>
            <w:tcW w:w="881" w:type="dxa"/>
            <w:shd w:val="clear" w:color="auto" w:fill="auto"/>
          </w:tcPr>
          <w:p>
            <w:pPr>
              <w:widowControl/>
              <w:spacing w:before="300" w:after="225" w:line="36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rPr>
              <w:t>1</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rPr>
              <w:t>2</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rPr>
              <w:t>3</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ascii="宋体" w:hAnsi="宋体" w:cs="宋体"/>
              </w:rPr>
              <w:t>···</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gridSpan w:val="2"/>
            <w:shd w:val="clear" w:color="auto" w:fill="auto"/>
          </w:tcPr>
          <w:p>
            <w:pPr>
              <w:widowControl/>
              <w:spacing w:before="300" w:after="225" w:line="360" w:lineRule="atLeast"/>
              <w:jc w:val="center"/>
            </w:pPr>
            <w:r>
              <w:rPr>
                <w:rFonts w:hint="eastAsia"/>
              </w:rPr>
              <w:t>合计</w:t>
            </w:r>
          </w:p>
        </w:tc>
        <w:tc>
          <w:tcPr>
            <w:tcW w:w="1069" w:type="dxa"/>
            <w:shd w:val="clear" w:color="auto" w:fill="auto"/>
          </w:tcPr>
          <w:p>
            <w:pPr>
              <w:widowControl/>
              <w:spacing w:before="300" w:after="225" w:line="360" w:lineRule="atLeast"/>
              <w:jc w:val="center"/>
            </w:pPr>
            <w:r>
              <w:rPr>
                <w:rFonts w:hint="eastAsia" w:ascii="宋体" w:hAnsi="宋体" w:cs="宋体"/>
              </w:rPr>
              <w:t>/</w:t>
            </w:r>
          </w:p>
        </w:tc>
        <w:tc>
          <w:tcPr>
            <w:tcW w:w="994" w:type="dxa"/>
            <w:shd w:val="clear" w:color="auto" w:fill="auto"/>
          </w:tcPr>
          <w:p>
            <w:pPr>
              <w:widowControl/>
              <w:spacing w:before="300" w:after="225" w:line="360" w:lineRule="atLeast"/>
              <w:jc w:val="center"/>
            </w:pPr>
            <w:r>
              <w:rPr>
                <w:rFonts w:hint="eastAsia" w:ascii="宋体" w:hAnsi="宋体" w:cs="宋体"/>
              </w:rPr>
              <w:t>/</w:t>
            </w: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r>
              <w:rPr>
                <w:rFonts w:hint="eastAsia" w:ascii="宋体" w:hAnsi="宋体" w:cs="宋体"/>
              </w:rPr>
              <w:t>/</w:t>
            </w: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r>
              <w:rPr>
                <w:rFonts w:hint="eastAsia" w:ascii="宋体" w:hAnsi="宋体" w:cs="宋体"/>
              </w:rPr>
              <w:t>/</w:t>
            </w:r>
          </w:p>
        </w:tc>
        <w:tc>
          <w:tcPr>
            <w:tcW w:w="881" w:type="dxa"/>
            <w:shd w:val="clear" w:color="auto" w:fill="auto"/>
          </w:tcPr>
          <w:p>
            <w:pPr>
              <w:widowControl/>
              <w:spacing w:before="300" w:after="225" w:line="360" w:lineRule="atLeast"/>
              <w:jc w:val="cente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rPr>
        <w:tc>
          <w:tcPr>
            <w:tcW w:w="9780" w:type="dxa"/>
            <w:gridSpan w:val="9"/>
            <w:shd w:val="clear" w:color="auto" w:fill="auto"/>
          </w:tcPr>
          <w:p>
            <w:pPr>
              <w:widowControl/>
              <w:shd w:val="clear" w:color="auto" w:fill="FFFFFF"/>
              <w:spacing w:before="300" w:after="225" w:line="360" w:lineRule="atLeast"/>
              <w:ind w:firstLine="420"/>
              <w:jc w:val="left"/>
            </w:pPr>
            <w:r>
              <w:rPr>
                <w:rFonts w:hint="eastAsia" w:ascii="Arial" w:hAnsi="Arial" w:cs="Arial"/>
                <w:kern w:val="0"/>
              </w:rPr>
              <w:t>本单位竞争性磋商响应文件中提供的以上部分产品为本单位生产的产品，如有虚假，我单位承担由此产生的一切后果。</w:t>
            </w:r>
          </w:p>
        </w:tc>
      </w:tr>
    </w:tbl>
    <w:p>
      <w:pPr>
        <w:widowControl/>
        <w:shd w:val="clear" w:color="auto" w:fill="FFFFFF"/>
        <w:spacing w:before="300" w:after="225" w:line="360" w:lineRule="atLeast"/>
        <w:jc w:val="left"/>
        <w:rPr>
          <w:rFonts w:ascii="Arial" w:hAnsi="Arial" w:cs="Arial"/>
          <w:kern w:val="0"/>
        </w:rPr>
      </w:pPr>
      <w:r>
        <w:rPr>
          <w:rFonts w:hint="eastAsia" w:ascii="Arial" w:hAnsi="Arial" w:cs="Arial"/>
          <w:kern w:val="0"/>
        </w:rPr>
        <w:t>备注：1、表中所列产品应为投标供应商满足本竞争性磋商文件要求的本单位生产的产品；</w:t>
      </w:r>
    </w:p>
    <w:p>
      <w:pPr>
        <w:widowControl/>
        <w:shd w:val="clear" w:color="auto" w:fill="FFFFFF"/>
        <w:spacing w:before="300" w:after="225" w:line="360" w:lineRule="atLeast"/>
        <w:ind w:left="630" w:leftChars="300"/>
        <w:jc w:val="left"/>
        <w:rPr>
          <w:rFonts w:ascii="Arial" w:hAnsi="Arial" w:cs="Arial"/>
          <w:kern w:val="0"/>
        </w:rPr>
      </w:pPr>
      <w:r>
        <w:rPr>
          <w:rFonts w:hint="eastAsia" w:ascii="Arial" w:hAnsi="Arial" w:cs="Arial"/>
          <w:kern w:val="0"/>
        </w:rPr>
        <w:t>2、投标供应商提供的“监狱企业证明材料”与事实不符的，按照《中华人民共和国政府采购法》第七十七条第一款的规定追究法律责任；</w:t>
      </w:r>
    </w:p>
    <w:p>
      <w:pPr>
        <w:widowControl/>
        <w:shd w:val="clear" w:color="auto" w:fill="FFFFFF"/>
        <w:spacing w:before="300" w:after="225" w:line="360" w:lineRule="atLeast"/>
        <w:ind w:left="630" w:leftChars="300"/>
        <w:jc w:val="left"/>
        <w:rPr>
          <w:rFonts w:ascii="Arial" w:hAnsi="Arial" w:cs="Arial"/>
          <w:kern w:val="0"/>
        </w:rPr>
      </w:pPr>
      <w:r>
        <w:rPr>
          <w:rFonts w:hint="eastAsia" w:ascii="Arial" w:hAnsi="Arial" w:cs="Arial"/>
          <w:kern w:val="0"/>
        </w:rPr>
        <w:t>3、投标供应商为监狱企业，且所投产品为本单位生产的产品，则对该产品的价格给予8%的扣除。</w:t>
      </w:r>
    </w:p>
    <w:p>
      <w:pPr>
        <w:widowControl/>
        <w:shd w:val="clear" w:color="auto" w:fill="FFFFFF"/>
        <w:spacing w:before="300" w:after="225" w:line="360" w:lineRule="atLeast"/>
        <w:ind w:firstLine="420"/>
        <w:jc w:val="left"/>
        <w:rPr>
          <w:rFonts w:ascii="Arial" w:hAnsi="Arial" w:cs="Arial"/>
        </w:rPr>
      </w:pPr>
      <w:r>
        <w:rPr>
          <w:rFonts w:hint="eastAsia" w:ascii="Arial" w:hAnsi="Arial" w:cs="Arial"/>
          <w:kern w:val="0"/>
        </w:rPr>
        <w:t>投标供应商</w:t>
      </w:r>
      <w:r>
        <w:rPr>
          <w:rFonts w:ascii="Arial" w:hAnsi="Arial" w:cs="Arial"/>
          <w:kern w:val="0"/>
        </w:rPr>
        <w:t>名称</w:t>
      </w:r>
      <w:r>
        <w:rPr>
          <w:rFonts w:ascii="Arial" w:hAnsi="Arial" w:cs="Arial"/>
          <w:kern w:val="0"/>
          <w:highlight w:val="yellow"/>
        </w:rPr>
        <w:t>（盖</w:t>
      </w:r>
      <w:r>
        <w:rPr>
          <w:rFonts w:hint="eastAsia" w:ascii="Arial" w:hAnsi="Arial" w:cs="Arial"/>
          <w:kern w:val="0"/>
          <w:highlight w:val="yellow"/>
        </w:rPr>
        <w:t>单位</w:t>
      </w:r>
      <w:r>
        <w:rPr>
          <w:rFonts w:hint="eastAsia" w:ascii="Arial" w:hAnsi="Arial" w:cs="Arial"/>
          <w:kern w:val="0"/>
          <w:highlight w:val="yellow"/>
          <w:lang w:val="en-US" w:eastAsia="zh-CN"/>
        </w:rPr>
        <w:t>公章</w:t>
      </w:r>
      <w:r>
        <w:rPr>
          <w:rFonts w:ascii="Arial" w:hAnsi="Arial" w:cs="Arial"/>
          <w:kern w:val="0"/>
          <w:highlight w:val="yellow"/>
        </w:rPr>
        <w:t>）</w:t>
      </w:r>
      <w:r>
        <w:rPr>
          <w:rFonts w:ascii="Arial" w:hAnsi="Arial" w:cs="Arial"/>
          <w:kern w:val="0"/>
        </w:rPr>
        <w:t>：</w:t>
      </w:r>
    </w:p>
    <w:p>
      <w:pPr>
        <w:widowControl/>
        <w:shd w:val="clear" w:color="auto" w:fill="FFFFFF"/>
        <w:spacing w:before="300" w:after="225" w:line="360" w:lineRule="atLeast"/>
        <w:ind w:firstLine="420"/>
        <w:jc w:val="left"/>
        <w:rPr>
          <w:rFonts w:ascii="Arial" w:hAnsi="Arial" w:cs="Arial"/>
        </w:rPr>
      </w:pPr>
      <w:r>
        <w:rPr>
          <w:rFonts w:ascii="Arial" w:hAnsi="Arial" w:cs="Arial"/>
          <w:kern w:val="0"/>
        </w:rPr>
        <w:t>日期：</w:t>
      </w:r>
    </w:p>
    <w:p>
      <w:pPr>
        <w:widowControl/>
        <w:shd w:val="clear" w:color="auto" w:fill="FFFFFF"/>
        <w:spacing w:before="300" w:after="225" w:line="360" w:lineRule="atLeast"/>
        <w:jc w:val="center"/>
        <w:rPr>
          <w:b/>
          <w:bCs/>
          <w:sz w:val="32"/>
          <w:szCs w:val="32"/>
        </w:rPr>
      </w:pPr>
    </w:p>
    <w:p>
      <w:pPr>
        <w:widowControl/>
        <w:shd w:val="clear" w:color="auto" w:fill="FFFFFF"/>
        <w:spacing w:before="300" w:after="225" w:line="360" w:lineRule="atLeast"/>
        <w:jc w:val="center"/>
        <w:rPr>
          <w:b/>
          <w:bCs/>
          <w:sz w:val="32"/>
          <w:szCs w:val="32"/>
        </w:rPr>
      </w:pPr>
    </w:p>
    <w:p/>
    <w:p>
      <w:r>
        <w:rPr>
          <w:rFonts w:hint="eastAsia"/>
        </w:rPr>
        <w:br w:type="page"/>
      </w:r>
    </w:p>
    <w:p>
      <w:pPr>
        <w:pStyle w:val="5"/>
        <w:numPr>
          <w:ilvl w:val="0"/>
          <w:numId w:val="7"/>
        </w:numPr>
        <w:spacing w:line="413" w:lineRule="auto"/>
        <w:jc w:val="center"/>
        <w:rPr>
          <w:rFonts w:ascii="宋体" w:hAnsi="宋体" w:cs="宋体"/>
          <w:bCs w:val="0"/>
          <w:color w:val="000000"/>
          <w:highlight w:val="white"/>
        </w:rPr>
      </w:pPr>
      <w:r>
        <w:rPr>
          <w:rFonts w:hint="eastAsia" w:ascii="宋体" w:hAnsi="宋体" w:cs="宋体"/>
          <w:bCs w:val="0"/>
          <w:color w:val="000000"/>
          <w:highlight w:val="white"/>
        </w:rPr>
        <w:t>残疾人福利性单位声明函</w:t>
      </w:r>
    </w:p>
    <w:p>
      <w:pPr>
        <w:widowControl/>
        <w:shd w:val="clear" w:color="auto" w:fill="FFFFFF"/>
        <w:spacing w:before="300" w:after="225" w:line="360" w:lineRule="atLeast"/>
        <w:ind w:firstLine="420" w:firstLineChars="200"/>
        <w:jc w:val="left"/>
        <w:rPr>
          <w:rFonts w:ascii="Arial" w:hAnsi="Arial" w:cs="Arial"/>
          <w:color w:val="333333"/>
        </w:rPr>
      </w:pPr>
      <w:r>
        <w:rPr>
          <w:rFonts w:ascii="Arial" w:hAnsi="Arial" w:cs="Arial"/>
          <w:color w:val="333333"/>
          <w:kern w:val="0"/>
          <w:shd w:val="clear" w:color="auto" w:fill="FFFFFF"/>
        </w:rPr>
        <w:t>本</w:t>
      </w:r>
      <w:r>
        <w:rPr>
          <w:rFonts w:hint="eastAsia" w:ascii="Arial" w:hAnsi="Arial" w:cs="Arial"/>
          <w:color w:val="333333"/>
          <w:kern w:val="0"/>
          <w:shd w:val="clear" w:color="auto" w:fill="FFFFFF"/>
        </w:rPr>
        <w:t>单位</w:t>
      </w:r>
      <w:r>
        <w:rPr>
          <w:rFonts w:ascii="Arial" w:hAnsi="Arial" w:cs="Arial"/>
          <w:color w:val="333333"/>
          <w:kern w:val="0"/>
          <w:shd w:val="clear" w:color="auto" w:fill="FFFFFF"/>
        </w:rPr>
        <w:t>郑重声明，根据</w:t>
      </w:r>
      <w:r>
        <w:rPr>
          <w:rFonts w:hint="eastAsia" w:ascii="Arial" w:hAnsi="Arial" w:cs="Arial"/>
          <w:color w:val="333333"/>
          <w:kern w:val="0"/>
          <w:shd w:val="clear" w:color="auto" w:fill="FFFFFF"/>
        </w:rPr>
        <w:t>《中国残疾人联合会关于促进残疾人就业政府采购政策的通知》（财库【2017】141号）</w:t>
      </w:r>
      <w:r>
        <w:rPr>
          <w:rFonts w:ascii="Arial" w:hAnsi="Arial" w:cs="Arial"/>
          <w:color w:val="333333"/>
          <w:kern w:val="0"/>
          <w:shd w:val="clear" w:color="auto" w:fill="FFFFFF"/>
        </w:rPr>
        <w:t>的规定，</w:t>
      </w:r>
      <w:r>
        <w:rPr>
          <w:rFonts w:hint="eastAsia" w:ascii="Arial" w:hAnsi="Arial" w:cs="Arial"/>
          <w:color w:val="333333"/>
          <w:kern w:val="0"/>
          <w:shd w:val="clear" w:color="auto" w:fill="FFFFFF"/>
        </w:rPr>
        <w:t>本单位为符合条件的残疾人福利性单位，且</w:t>
      </w:r>
      <w:r>
        <w:rPr>
          <w:rFonts w:ascii="Arial" w:hAnsi="Arial" w:cs="Arial"/>
          <w:color w:val="333333"/>
          <w:kern w:val="0"/>
          <w:shd w:val="clear" w:color="auto" w:fill="FFFFFF"/>
        </w:rPr>
        <w:t>本</w:t>
      </w:r>
      <w:r>
        <w:rPr>
          <w:rFonts w:hint="eastAsia" w:ascii="Arial" w:hAnsi="Arial" w:cs="Arial"/>
          <w:color w:val="333333"/>
          <w:kern w:val="0"/>
          <w:shd w:val="clear" w:color="auto" w:fill="FFFFFF"/>
        </w:rPr>
        <w:t>单位</w:t>
      </w:r>
      <w:r>
        <w:rPr>
          <w:rFonts w:ascii="Arial" w:hAnsi="Arial" w:cs="Arial"/>
          <w:color w:val="333333"/>
          <w:kern w:val="0"/>
          <w:shd w:val="clear" w:color="auto" w:fill="FFFFFF"/>
        </w:rPr>
        <w:t>参加</w:t>
      </w:r>
      <w:r>
        <w:rPr>
          <w:rFonts w:hint="eastAsia" w:ascii="Arial" w:hAnsi="Arial" w:cs="Arial"/>
          <w:color w:val="333333"/>
          <w:kern w:val="0"/>
          <w:u w:val="single"/>
          <w:shd w:val="clear" w:color="auto" w:fill="FFFFFF"/>
        </w:rPr>
        <w:t>（采购人全称）</w:t>
      </w:r>
      <w:r>
        <w:rPr>
          <w:rFonts w:ascii="Arial" w:hAnsi="Arial" w:cs="Arial"/>
          <w:color w:val="333333"/>
          <w:kern w:val="0"/>
          <w:shd w:val="clear" w:color="auto" w:fill="FFFFFF"/>
        </w:rPr>
        <w:t>的</w:t>
      </w:r>
      <w:r>
        <w:rPr>
          <w:rFonts w:hint="eastAsia" w:ascii="Arial" w:hAnsi="Arial" w:cs="Arial"/>
          <w:color w:val="333333"/>
          <w:kern w:val="0"/>
          <w:u w:val="single"/>
          <w:shd w:val="clear" w:color="auto" w:fill="FFFFFF"/>
        </w:rPr>
        <w:t>（项目名称）</w:t>
      </w:r>
      <w:r>
        <w:rPr>
          <w:rFonts w:ascii="Arial" w:hAnsi="Arial" w:cs="Arial"/>
          <w:color w:val="333333"/>
          <w:kern w:val="0"/>
          <w:shd w:val="clear" w:color="auto" w:fill="FFFFFF"/>
        </w:rPr>
        <w:t>项目采购活动</w:t>
      </w:r>
      <w:r>
        <w:rPr>
          <w:rFonts w:hint="eastAsia" w:ascii="Arial" w:hAnsi="Arial" w:cs="Arial"/>
          <w:color w:val="333333"/>
          <w:kern w:val="0"/>
          <w:u w:val="single"/>
          <w:shd w:val="clear" w:color="auto" w:fill="FFFFFF"/>
        </w:rPr>
        <w:t>（项目编号）</w:t>
      </w:r>
      <w:r>
        <w:rPr>
          <w:rFonts w:hint="eastAsia" w:ascii="Arial" w:hAnsi="Arial" w:cs="Arial"/>
          <w:color w:val="333333"/>
          <w:kern w:val="0"/>
          <w:shd w:val="clear" w:color="auto" w:fill="FFFFFF"/>
        </w:rPr>
        <w:t>提供本单位制造的以下货物。</w:t>
      </w:r>
    </w:p>
    <w:p>
      <w:pPr>
        <w:widowControl/>
        <w:shd w:val="clear" w:color="auto" w:fill="FFFFFF"/>
        <w:spacing w:before="300" w:after="225" w:line="360" w:lineRule="atLeast"/>
        <w:ind w:firstLine="420"/>
        <w:jc w:val="left"/>
        <w:rPr>
          <w:rFonts w:ascii="Arial" w:hAnsi="Arial" w:cs="Arial"/>
          <w:color w:val="333333"/>
          <w:kern w:val="0"/>
          <w:shd w:val="clear" w:color="auto" w:fill="FFFFFF"/>
        </w:rPr>
      </w:pPr>
      <w:r>
        <w:rPr>
          <w:rFonts w:ascii="Arial" w:hAnsi="Arial" w:cs="Arial"/>
          <w:color w:val="333333"/>
          <w:kern w:val="0"/>
          <w:shd w:val="clear" w:color="auto" w:fill="FFFFFF"/>
        </w:rPr>
        <w:t>本</w:t>
      </w:r>
      <w:r>
        <w:rPr>
          <w:rFonts w:hint="eastAsia" w:ascii="Arial" w:hAnsi="Arial" w:cs="Arial"/>
          <w:color w:val="333333"/>
          <w:kern w:val="0"/>
          <w:shd w:val="clear" w:color="auto" w:fill="FFFFFF"/>
        </w:rPr>
        <w:t>单位</w:t>
      </w:r>
      <w:r>
        <w:rPr>
          <w:rFonts w:ascii="Arial" w:hAnsi="Arial" w:cs="Arial"/>
          <w:color w:val="333333"/>
          <w:kern w:val="0"/>
          <w:shd w:val="clear" w:color="auto" w:fill="FFFFFF"/>
        </w:rPr>
        <w:t>对上述声明的真实性负责。如有虚假，将依法承担相应责任。</w:t>
      </w:r>
      <w:r>
        <w:rPr>
          <w:rFonts w:ascii="Arial" w:hAnsi="Arial" w:cs="Arial"/>
          <w:color w:val="136EC2"/>
          <w:kern w:val="0"/>
          <w:sz w:val="16"/>
          <w:szCs w:val="0"/>
          <w:shd w:val="clear" w:color="auto" w:fill="FFFFFF"/>
        </w:rPr>
        <w:t> </w:t>
      </w:r>
    </w:p>
    <w:p>
      <w:pPr>
        <w:widowControl/>
        <w:shd w:val="clear" w:color="auto" w:fill="FFFFFF"/>
        <w:spacing w:before="300" w:after="225" w:line="360" w:lineRule="atLeast"/>
        <w:ind w:firstLine="420"/>
        <w:jc w:val="left"/>
        <w:rPr>
          <w:rFonts w:ascii="Arial" w:hAnsi="Arial" w:cs="Arial"/>
          <w:color w:val="333333"/>
        </w:rPr>
      </w:pPr>
      <w:r>
        <w:rPr>
          <w:rFonts w:hint="eastAsia" w:ascii="Arial" w:hAnsi="Arial" w:cs="Arial"/>
          <w:color w:val="333333"/>
          <w:kern w:val="0"/>
          <w:shd w:val="clear" w:color="auto" w:fill="FFFFFF"/>
        </w:rPr>
        <w:t>声明人</w:t>
      </w:r>
      <w:r>
        <w:rPr>
          <w:rFonts w:ascii="Arial" w:hAnsi="Arial" w:cs="Arial"/>
          <w:color w:val="333333"/>
          <w:kern w:val="0"/>
          <w:shd w:val="clear" w:color="auto" w:fill="FFFFFF"/>
        </w:rPr>
        <w:t>名称</w:t>
      </w:r>
      <w:r>
        <w:rPr>
          <w:rFonts w:ascii="Arial" w:hAnsi="Arial" w:cs="Arial"/>
          <w:color w:val="333333"/>
          <w:kern w:val="0"/>
          <w:highlight w:val="yellow"/>
          <w:shd w:val="clear" w:color="auto" w:fill="FFFFFF"/>
        </w:rPr>
        <w:t>（盖</w:t>
      </w:r>
      <w:r>
        <w:rPr>
          <w:rFonts w:hint="eastAsia" w:ascii="Arial" w:hAnsi="Arial" w:cs="Arial"/>
          <w:color w:val="333333"/>
          <w:kern w:val="0"/>
          <w:highlight w:val="yellow"/>
          <w:shd w:val="clear" w:color="auto" w:fill="FFFFFF"/>
        </w:rPr>
        <w:t>单位</w:t>
      </w:r>
      <w:r>
        <w:rPr>
          <w:rFonts w:hint="eastAsia" w:ascii="Arial" w:hAnsi="Arial" w:cs="Arial"/>
          <w:color w:val="333333"/>
          <w:kern w:val="0"/>
          <w:highlight w:val="yellow"/>
          <w:shd w:val="clear" w:color="auto" w:fill="FFFFFF"/>
          <w:lang w:val="en-US" w:eastAsia="zh-CN"/>
        </w:rPr>
        <w:t>公章</w:t>
      </w:r>
      <w:r>
        <w:rPr>
          <w:rFonts w:ascii="Arial" w:hAnsi="Arial" w:cs="Arial"/>
          <w:color w:val="333333"/>
          <w:kern w:val="0"/>
          <w:highlight w:val="yellow"/>
          <w:shd w:val="clear" w:color="auto" w:fill="FFFFFF"/>
        </w:rPr>
        <w:t>）</w:t>
      </w:r>
      <w:r>
        <w:rPr>
          <w:rFonts w:ascii="Arial" w:hAnsi="Arial" w:cs="Arial"/>
          <w:color w:val="333333"/>
          <w:kern w:val="0"/>
          <w:shd w:val="clear" w:color="auto" w:fill="FFFFFF"/>
        </w:rPr>
        <w:t>：</w:t>
      </w:r>
    </w:p>
    <w:p>
      <w:pPr>
        <w:widowControl/>
        <w:shd w:val="clear" w:color="auto" w:fill="FFFFFF"/>
        <w:spacing w:before="300" w:after="225" w:line="360" w:lineRule="atLeast"/>
        <w:ind w:firstLine="420"/>
        <w:jc w:val="left"/>
        <w:rPr>
          <w:rFonts w:ascii="Arial" w:hAnsi="Arial" w:cs="Arial"/>
          <w:color w:val="333333"/>
          <w:kern w:val="0"/>
          <w:shd w:val="clear" w:color="auto" w:fill="FFFFFF"/>
        </w:rPr>
      </w:pPr>
      <w:r>
        <w:rPr>
          <w:rFonts w:ascii="Arial" w:hAnsi="Arial" w:cs="Arial"/>
          <w:color w:val="333333"/>
          <w:kern w:val="0"/>
          <w:shd w:val="clear" w:color="auto" w:fill="FFFFFF"/>
        </w:rPr>
        <w:t>日期：</w:t>
      </w:r>
    </w:p>
    <w:p>
      <w:pPr>
        <w:widowControl/>
        <w:shd w:val="clear" w:color="auto" w:fill="FFFFFF"/>
        <w:spacing w:before="300" w:after="225" w:line="360" w:lineRule="atLeast"/>
        <w:ind w:firstLine="420"/>
        <w:jc w:val="center"/>
      </w:pPr>
      <w:r>
        <w:rPr>
          <w:rFonts w:hint="eastAsia"/>
        </w:rPr>
        <w:t>附表3    残疾人福利性单位产品投标明细表（人民币单位：元）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06"/>
        <w:gridCol w:w="1069"/>
        <w:gridCol w:w="994"/>
        <w:gridCol w:w="975"/>
        <w:gridCol w:w="918"/>
        <w:gridCol w:w="900"/>
        <w:gridCol w:w="226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68" w:type="dxa"/>
            <w:shd w:val="clear" w:color="auto" w:fill="auto"/>
          </w:tcPr>
          <w:p>
            <w:pPr>
              <w:widowControl/>
              <w:spacing w:before="300" w:after="225" w:line="360" w:lineRule="atLeast"/>
              <w:jc w:val="center"/>
            </w:pPr>
            <w:r>
              <w:rPr>
                <w:rFonts w:hint="eastAsia"/>
              </w:rPr>
              <w:t>序号</w:t>
            </w:r>
          </w:p>
        </w:tc>
        <w:tc>
          <w:tcPr>
            <w:tcW w:w="1106" w:type="dxa"/>
            <w:shd w:val="clear" w:color="auto" w:fill="auto"/>
          </w:tcPr>
          <w:p>
            <w:pPr>
              <w:widowControl/>
              <w:spacing w:before="300" w:after="225" w:line="360" w:lineRule="atLeast"/>
              <w:jc w:val="center"/>
            </w:pPr>
            <w:r>
              <w:rPr>
                <w:rFonts w:hint="eastAsia"/>
              </w:rPr>
              <w:t>产品名称</w:t>
            </w:r>
          </w:p>
        </w:tc>
        <w:tc>
          <w:tcPr>
            <w:tcW w:w="1069" w:type="dxa"/>
            <w:shd w:val="clear" w:color="auto" w:fill="auto"/>
          </w:tcPr>
          <w:p>
            <w:pPr>
              <w:widowControl/>
              <w:spacing w:before="300" w:after="225" w:line="360" w:lineRule="atLeast"/>
              <w:jc w:val="center"/>
            </w:pPr>
            <w:r>
              <w:rPr>
                <w:rFonts w:hint="eastAsia"/>
              </w:rPr>
              <w:t>数量/单位</w:t>
            </w:r>
          </w:p>
        </w:tc>
        <w:tc>
          <w:tcPr>
            <w:tcW w:w="994" w:type="dxa"/>
            <w:shd w:val="clear" w:color="auto" w:fill="auto"/>
          </w:tcPr>
          <w:p>
            <w:pPr>
              <w:widowControl/>
              <w:spacing w:before="300" w:after="225" w:line="360" w:lineRule="atLeast"/>
              <w:jc w:val="center"/>
            </w:pPr>
            <w:r>
              <w:rPr>
                <w:rFonts w:hint="eastAsia"/>
              </w:rPr>
              <w:t>单价</w:t>
            </w:r>
          </w:p>
        </w:tc>
        <w:tc>
          <w:tcPr>
            <w:tcW w:w="975" w:type="dxa"/>
            <w:shd w:val="clear" w:color="auto" w:fill="auto"/>
          </w:tcPr>
          <w:p>
            <w:pPr>
              <w:widowControl/>
              <w:spacing w:before="300" w:after="225" w:line="360" w:lineRule="atLeast"/>
              <w:jc w:val="center"/>
            </w:pPr>
            <w:r>
              <w:rPr>
                <w:rFonts w:hint="eastAsia"/>
              </w:rPr>
              <w:t>合价</w:t>
            </w:r>
          </w:p>
        </w:tc>
        <w:tc>
          <w:tcPr>
            <w:tcW w:w="918" w:type="dxa"/>
            <w:shd w:val="clear" w:color="auto" w:fill="auto"/>
          </w:tcPr>
          <w:p>
            <w:pPr>
              <w:widowControl/>
              <w:spacing w:before="300" w:after="225" w:line="360" w:lineRule="atLeast"/>
              <w:jc w:val="center"/>
            </w:pPr>
            <w:r>
              <w:rPr>
                <w:rFonts w:hint="eastAsia"/>
              </w:rPr>
              <w:t>价格扣除比例</w:t>
            </w:r>
          </w:p>
        </w:tc>
        <w:tc>
          <w:tcPr>
            <w:tcW w:w="900" w:type="dxa"/>
            <w:shd w:val="clear" w:color="auto" w:fill="auto"/>
          </w:tcPr>
          <w:p>
            <w:pPr>
              <w:widowControl/>
              <w:spacing w:before="300" w:after="225" w:line="360" w:lineRule="atLeast"/>
              <w:jc w:val="center"/>
            </w:pPr>
            <w:r>
              <w:rPr>
                <w:rFonts w:hint="eastAsia"/>
              </w:rPr>
              <w:t>扣除价格</w:t>
            </w:r>
          </w:p>
        </w:tc>
        <w:tc>
          <w:tcPr>
            <w:tcW w:w="2269" w:type="dxa"/>
            <w:shd w:val="clear" w:color="auto" w:fill="auto"/>
          </w:tcPr>
          <w:p>
            <w:pPr>
              <w:widowControl/>
              <w:spacing w:before="300" w:after="225" w:line="360" w:lineRule="atLeast"/>
              <w:jc w:val="center"/>
            </w:pPr>
            <w:r>
              <w:rPr>
                <w:rFonts w:hint="eastAsia"/>
              </w:rPr>
              <w:t>制造商（填写制造商名称）</w:t>
            </w:r>
          </w:p>
        </w:tc>
        <w:tc>
          <w:tcPr>
            <w:tcW w:w="881" w:type="dxa"/>
            <w:shd w:val="clear" w:color="auto" w:fill="auto"/>
          </w:tcPr>
          <w:p>
            <w:pPr>
              <w:widowControl/>
              <w:spacing w:before="300" w:after="225" w:line="36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rPr>
              <w:t>1</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rPr>
              <w:t>2</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rPr>
              <w:t>3</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tcPr>
          <w:p>
            <w:pPr>
              <w:widowControl/>
              <w:spacing w:before="300" w:after="225" w:line="360" w:lineRule="atLeast"/>
              <w:jc w:val="center"/>
            </w:pPr>
            <w:r>
              <w:rPr>
                <w:rFonts w:hint="eastAsia" w:ascii="宋体" w:hAnsi="宋体" w:cs="宋体"/>
              </w:rPr>
              <w:t>···</w:t>
            </w:r>
          </w:p>
        </w:tc>
        <w:tc>
          <w:tcPr>
            <w:tcW w:w="1106" w:type="dxa"/>
            <w:shd w:val="clear" w:color="auto" w:fill="auto"/>
          </w:tcPr>
          <w:p>
            <w:pPr>
              <w:widowControl/>
              <w:spacing w:before="300" w:after="225" w:line="360" w:lineRule="atLeast"/>
              <w:jc w:val="center"/>
            </w:pPr>
          </w:p>
        </w:tc>
        <w:tc>
          <w:tcPr>
            <w:tcW w:w="1069" w:type="dxa"/>
            <w:shd w:val="clear" w:color="auto" w:fill="auto"/>
          </w:tcPr>
          <w:p>
            <w:pPr>
              <w:widowControl/>
              <w:spacing w:before="300" w:after="225" w:line="360" w:lineRule="atLeast"/>
              <w:jc w:val="center"/>
            </w:pPr>
          </w:p>
        </w:tc>
        <w:tc>
          <w:tcPr>
            <w:tcW w:w="994" w:type="dxa"/>
            <w:shd w:val="clear" w:color="auto" w:fill="auto"/>
          </w:tcPr>
          <w:p>
            <w:pPr>
              <w:widowControl/>
              <w:spacing w:before="300" w:after="225" w:line="360" w:lineRule="atLeast"/>
              <w:jc w:val="center"/>
            </w:pP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p>
        </w:tc>
        <w:tc>
          <w:tcPr>
            <w:tcW w:w="881" w:type="dxa"/>
            <w:shd w:val="clear" w:color="auto" w:fill="auto"/>
          </w:tcPr>
          <w:p>
            <w:pPr>
              <w:widowControl/>
              <w:spacing w:before="300" w:after="225" w:line="3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gridSpan w:val="2"/>
            <w:shd w:val="clear" w:color="auto" w:fill="auto"/>
          </w:tcPr>
          <w:p>
            <w:pPr>
              <w:widowControl/>
              <w:spacing w:before="300" w:after="225" w:line="360" w:lineRule="atLeast"/>
              <w:jc w:val="center"/>
            </w:pPr>
            <w:r>
              <w:rPr>
                <w:rFonts w:hint="eastAsia"/>
              </w:rPr>
              <w:t>合计</w:t>
            </w:r>
          </w:p>
        </w:tc>
        <w:tc>
          <w:tcPr>
            <w:tcW w:w="1069" w:type="dxa"/>
            <w:shd w:val="clear" w:color="auto" w:fill="auto"/>
          </w:tcPr>
          <w:p>
            <w:pPr>
              <w:widowControl/>
              <w:spacing w:before="300" w:after="225" w:line="360" w:lineRule="atLeast"/>
              <w:jc w:val="center"/>
            </w:pPr>
            <w:r>
              <w:rPr>
                <w:rFonts w:hint="eastAsia" w:ascii="宋体" w:hAnsi="宋体" w:cs="宋体"/>
              </w:rPr>
              <w:t>/</w:t>
            </w:r>
          </w:p>
        </w:tc>
        <w:tc>
          <w:tcPr>
            <w:tcW w:w="994" w:type="dxa"/>
            <w:shd w:val="clear" w:color="auto" w:fill="auto"/>
          </w:tcPr>
          <w:p>
            <w:pPr>
              <w:widowControl/>
              <w:spacing w:before="300" w:after="225" w:line="360" w:lineRule="atLeast"/>
              <w:jc w:val="center"/>
            </w:pPr>
            <w:r>
              <w:rPr>
                <w:rFonts w:hint="eastAsia" w:ascii="宋体" w:hAnsi="宋体" w:cs="宋体"/>
              </w:rPr>
              <w:t>/</w:t>
            </w:r>
          </w:p>
        </w:tc>
        <w:tc>
          <w:tcPr>
            <w:tcW w:w="975" w:type="dxa"/>
            <w:shd w:val="clear" w:color="auto" w:fill="auto"/>
          </w:tcPr>
          <w:p>
            <w:pPr>
              <w:widowControl/>
              <w:spacing w:before="300" w:after="225" w:line="360" w:lineRule="atLeast"/>
              <w:jc w:val="center"/>
            </w:pPr>
          </w:p>
        </w:tc>
        <w:tc>
          <w:tcPr>
            <w:tcW w:w="918" w:type="dxa"/>
            <w:shd w:val="clear" w:color="auto" w:fill="auto"/>
          </w:tcPr>
          <w:p>
            <w:pPr>
              <w:widowControl/>
              <w:spacing w:before="300" w:after="225" w:line="360" w:lineRule="atLeast"/>
              <w:jc w:val="center"/>
            </w:pPr>
            <w:r>
              <w:rPr>
                <w:rFonts w:hint="eastAsia" w:ascii="宋体" w:hAnsi="宋体" w:cs="宋体"/>
              </w:rPr>
              <w:t>/</w:t>
            </w:r>
          </w:p>
        </w:tc>
        <w:tc>
          <w:tcPr>
            <w:tcW w:w="900" w:type="dxa"/>
            <w:shd w:val="clear" w:color="auto" w:fill="auto"/>
          </w:tcPr>
          <w:p>
            <w:pPr>
              <w:widowControl/>
              <w:spacing w:before="300" w:after="225" w:line="360" w:lineRule="atLeast"/>
              <w:jc w:val="center"/>
            </w:pPr>
          </w:p>
        </w:tc>
        <w:tc>
          <w:tcPr>
            <w:tcW w:w="2269" w:type="dxa"/>
            <w:shd w:val="clear" w:color="auto" w:fill="auto"/>
          </w:tcPr>
          <w:p>
            <w:pPr>
              <w:widowControl/>
              <w:spacing w:before="300" w:after="225" w:line="360" w:lineRule="atLeast"/>
              <w:jc w:val="center"/>
            </w:pPr>
            <w:r>
              <w:rPr>
                <w:rFonts w:hint="eastAsia" w:ascii="宋体" w:hAnsi="宋体" w:cs="宋体"/>
              </w:rPr>
              <w:t>/</w:t>
            </w:r>
          </w:p>
        </w:tc>
        <w:tc>
          <w:tcPr>
            <w:tcW w:w="881" w:type="dxa"/>
            <w:shd w:val="clear" w:color="auto" w:fill="auto"/>
          </w:tcPr>
          <w:p>
            <w:pPr>
              <w:widowControl/>
              <w:spacing w:before="300" w:after="225" w:line="360" w:lineRule="atLeast"/>
              <w:jc w:val="cente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9780" w:type="dxa"/>
            <w:gridSpan w:val="9"/>
            <w:shd w:val="clear" w:color="auto" w:fill="auto"/>
          </w:tcPr>
          <w:p>
            <w:pPr>
              <w:widowControl/>
              <w:shd w:val="clear" w:color="auto" w:fill="FFFFFF"/>
              <w:spacing w:before="300" w:after="225" w:line="360" w:lineRule="atLeast"/>
              <w:ind w:firstLine="420"/>
              <w:jc w:val="left"/>
            </w:pPr>
            <w:r>
              <w:rPr>
                <w:rFonts w:hint="eastAsia" w:ascii="Arial" w:hAnsi="Arial" w:cs="Arial"/>
                <w:color w:val="333333"/>
                <w:kern w:val="0"/>
                <w:shd w:val="clear" w:color="auto" w:fill="FFFFFF"/>
              </w:rPr>
              <w:t>本单位竞争性磋商响应文件中提供的以上部分产品为本单位生产的产品，如有虚假，我单位承担由此产生的一切后果。</w:t>
            </w:r>
          </w:p>
        </w:tc>
      </w:tr>
    </w:tbl>
    <w:p>
      <w:pPr>
        <w:widowControl/>
        <w:shd w:val="clear" w:color="auto" w:fill="FFFFFF"/>
        <w:spacing w:before="300" w:after="225" w:line="360" w:lineRule="atLeast"/>
        <w:jc w:val="left"/>
        <w:rPr>
          <w:rFonts w:ascii="Arial" w:hAnsi="Arial" w:cs="Arial"/>
          <w:color w:val="333333"/>
          <w:kern w:val="0"/>
          <w:shd w:val="clear" w:color="auto" w:fill="FFFFFF"/>
        </w:rPr>
      </w:pPr>
      <w:r>
        <w:rPr>
          <w:rFonts w:hint="eastAsia" w:ascii="Arial" w:hAnsi="Arial" w:cs="Arial"/>
          <w:color w:val="333333"/>
          <w:kern w:val="0"/>
          <w:shd w:val="clear" w:color="auto" w:fill="FFFFFF"/>
        </w:rPr>
        <w:t>备注：1、表中所列产品应为投标供应商满足本竞争性磋商文件要求的本单位生产的产品；</w:t>
      </w:r>
    </w:p>
    <w:p>
      <w:pPr>
        <w:widowControl/>
        <w:shd w:val="clear" w:color="auto" w:fill="FFFFFF"/>
        <w:spacing w:before="300" w:after="225" w:line="360" w:lineRule="atLeast"/>
        <w:ind w:left="630" w:leftChars="300"/>
        <w:jc w:val="left"/>
        <w:rPr>
          <w:rFonts w:ascii="Arial" w:hAnsi="Arial" w:cs="Arial"/>
          <w:color w:val="333333"/>
          <w:kern w:val="0"/>
          <w:shd w:val="clear" w:color="auto" w:fill="FFFFFF"/>
        </w:rPr>
      </w:pPr>
      <w:r>
        <w:rPr>
          <w:rFonts w:hint="eastAsia" w:ascii="Arial" w:hAnsi="Arial" w:cs="Arial"/>
          <w:color w:val="333333"/>
          <w:kern w:val="0"/>
          <w:shd w:val="clear" w:color="auto" w:fill="FFFFFF"/>
        </w:rPr>
        <w:t>2、投标供应商提供的《残疾人福利性单位声明函》与事实不符的，按照《中华人民共和国政府采购法》第七十七条第一款的规定追究法律责任；</w:t>
      </w:r>
    </w:p>
    <w:p>
      <w:pPr>
        <w:widowControl/>
        <w:shd w:val="clear" w:color="auto" w:fill="FFFFFF"/>
        <w:spacing w:before="300" w:after="225" w:line="360" w:lineRule="atLeast"/>
        <w:ind w:left="630" w:leftChars="300"/>
        <w:jc w:val="left"/>
        <w:rPr>
          <w:rFonts w:ascii="Arial" w:hAnsi="Arial" w:cs="Arial"/>
          <w:color w:val="333333"/>
          <w:kern w:val="0"/>
          <w:shd w:val="clear" w:color="auto" w:fill="FFFFFF"/>
        </w:rPr>
      </w:pPr>
      <w:r>
        <w:rPr>
          <w:rFonts w:hint="eastAsia" w:ascii="Arial" w:hAnsi="Arial" w:cs="Arial"/>
          <w:color w:val="333333"/>
          <w:kern w:val="0"/>
          <w:shd w:val="clear" w:color="auto" w:fill="FFFFFF"/>
        </w:rPr>
        <w:t>3、投标供应商为残疾人福利性单位，且所投产品为本单位生产的产品，则对该产品的价格给予8%的扣除。</w:t>
      </w:r>
    </w:p>
    <w:p>
      <w:pPr>
        <w:widowControl/>
        <w:shd w:val="clear" w:color="auto" w:fill="FFFFFF"/>
        <w:spacing w:before="300" w:after="225" w:line="360" w:lineRule="atLeast"/>
        <w:ind w:firstLine="420"/>
        <w:jc w:val="left"/>
        <w:rPr>
          <w:rFonts w:ascii="Arial" w:hAnsi="Arial" w:cs="Arial"/>
          <w:color w:val="333333"/>
        </w:rPr>
      </w:pPr>
      <w:r>
        <w:rPr>
          <w:rFonts w:hint="eastAsia" w:ascii="Arial" w:hAnsi="Arial" w:cs="Arial"/>
          <w:color w:val="333333"/>
          <w:kern w:val="0"/>
          <w:shd w:val="clear" w:color="auto" w:fill="FFFFFF"/>
        </w:rPr>
        <w:t>投标供应商</w:t>
      </w:r>
      <w:r>
        <w:rPr>
          <w:rFonts w:ascii="Arial" w:hAnsi="Arial" w:cs="Arial"/>
          <w:color w:val="333333"/>
          <w:kern w:val="0"/>
          <w:shd w:val="clear" w:color="auto" w:fill="FFFFFF"/>
        </w:rPr>
        <w:t>名称</w:t>
      </w:r>
      <w:r>
        <w:rPr>
          <w:rFonts w:ascii="Arial" w:hAnsi="Arial" w:cs="Arial"/>
          <w:color w:val="333333"/>
          <w:kern w:val="0"/>
          <w:highlight w:val="yellow"/>
          <w:shd w:val="clear" w:color="auto" w:fill="FFFFFF"/>
        </w:rPr>
        <w:t>（盖</w:t>
      </w:r>
      <w:r>
        <w:rPr>
          <w:rFonts w:hint="eastAsia" w:ascii="Arial" w:hAnsi="Arial" w:cs="Arial"/>
          <w:color w:val="333333"/>
          <w:kern w:val="0"/>
          <w:highlight w:val="yellow"/>
          <w:shd w:val="clear" w:color="auto" w:fill="FFFFFF"/>
        </w:rPr>
        <w:t>单位</w:t>
      </w:r>
      <w:r>
        <w:rPr>
          <w:rFonts w:hint="eastAsia" w:ascii="Arial" w:hAnsi="Arial" w:cs="Arial"/>
          <w:color w:val="333333"/>
          <w:kern w:val="0"/>
          <w:highlight w:val="yellow"/>
          <w:shd w:val="clear" w:color="auto" w:fill="FFFFFF"/>
          <w:lang w:val="en-US" w:eastAsia="zh-CN"/>
        </w:rPr>
        <w:t>公章</w:t>
      </w:r>
      <w:r>
        <w:rPr>
          <w:rFonts w:ascii="Arial" w:hAnsi="Arial" w:cs="Arial"/>
          <w:color w:val="333333"/>
          <w:kern w:val="0"/>
          <w:highlight w:val="yellow"/>
          <w:shd w:val="clear" w:color="auto" w:fill="FFFFFF"/>
        </w:rPr>
        <w:t>）</w:t>
      </w:r>
      <w:r>
        <w:rPr>
          <w:rFonts w:ascii="Arial" w:hAnsi="Arial" w:cs="Arial"/>
          <w:color w:val="333333"/>
          <w:kern w:val="0"/>
          <w:shd w:val="clear" w:color="auto" w:fill="FFFFFF"/>
        </w:rPr>
        <w:t>：</w:t>
      </w:r>
    </w:p>
    <w:p>
      <w:pPr>
        <w:widowControl/>
        <w:shd w:val="clear" w:color="auto" w:fill="FFFFFF"/>
        <w:spacing w:before="300" w:after="225" w:line="360" w:lineRule="atLeast"/>
        <w:ind w:firstLine="420"/>
        <w:jc w:val="left"/>
        <w:rPr>
          <w:rFonts w:ascii="Arial" w:hAnsi="Arial" w:cs="Arial"/>
          <w:color w:val="333333"/>
        </w:rPr>
      </w:pPr>
      <w:r>
        <w:rPr>
          <w:rFonts w:ascii="Arial" w:hAnsi="Arial" w:cs="Arial"/>
          <w:color w:val="333333"/>
          <w:kern w:val="0"/>
          <w:shd w:val="clear" w:color="auto" w:fill="FFFFFF"/>
        </w:rPr>
        <w:t>日期：</w:t>
      </w:r>
    </w:p>
    <w:p>
      <w:pPr>
        <w:rPr>
          <w:rFonts w:ascii="宋体" w:hAnsi="宋体"/>
          <w:color w:val="000000"/>
          <w:sz w:val="22"/>
        </w:rPr>
      </w:pPr>
    </w:p>
    <w:p>
      <w:pPr>
        <w:spacing w:line="360" w:lineRule="auto"/>
        <w:rPr>
          <w:color w:val="000000"/>
          <w:sz w:val="22"/>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pPr>
        <w:widowControl/>
        <w:outlineLvl w:val="0"/>
        <w:rPr>
          <w:sz w:val="28"/>
          <w:szCs w:val="28"/>
        </w:rPr>
      </w:pPr>
    </w:p>
    <w:p/>
    <w:sectPr>
      <w:headerReference r:id="rId7" w:type="default"/>
      <w:footerReference r:id="rId8" w:type="default"/>
      <w:pgSz w:w="11907" w:h="16840"/>
      <w:pgMar w:top="1418" w:right="1134" w:bottom="1418"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860152"/>
      <w:docPartObj>
        <w:docPartGallery w:val="autotext"/>
      </w:docPartObj>
    </w:sdtPr>
    <w:sdtContent>
      <w:p>
        <w:pPr>
          <w:pStyle w:val="17"/>
          <w:jc w:val="center"/>
        </w:pPr>
        <w:r>
          <w:rPr>
            <w:rStyle w:val="29"/>
          </w:rPr>
          <w:t>第</w:t>
        </w:r>
        <w:r>
          <w:fldChar w:fldCharType="begin"/>
        </w:r>
        <w:r>
          <w:rPr>
            <w:rStyle w:val="29"/>
          </w:rPr>
          <w:instrText xml:space="preserve"> PAGE </w:instrText>
        </w:r>
        <w:r>
          <w:fldChar w:fldCharType="separate"/>
        </w:r>
        <w:r>
          <w:rPr>
            <w:rStyle w:val="29"/>
          </w:rPr>
          <w:t>1</w:t>
        </w:r>
        <w:r>
          <w:fldChar w:fldCharType="end"/>
        </w:r>
        <w:r>
          <w:rPr>
            <w:rStyle w:val="29"/>
          </w:rPr>
          <w:t>页共</w:t>
        </w:r>
        <w:r>
          <w:fldChar w:fldCharType="begin"/>
        </w:r>
        <w:r>
          <w:rPr>
            <w:rStyle w:val="29"/>
          </w:rPr>
          <w:instrText xml:space="preserve"> NUMPAGES </w:instrText>
        </w:r>
        <w:r>
          <w:fldChar w:fldCharType="separate"/>
        </w:r>
        <w:r>
          <w:rPr>
            <w:rStyle w:val="29"/>
          </w:rPr>
          <w:t>46</w:t>
        </w:r>
        <w:r>
          <w:fldChar w:fldCharType="end"/>
        </w:r>
        <w:r>
          <w:rPr>
            <w:rStyle w:val="29"/>
          </w:rPr>
          <w:t>页</w:t>
        </w:r>
      </w:p>
    </w:sdtContent>
  </w:sdt>
  <w:p>
    <w:pPr>
      <w:pStyle w:val="17"/>
      <w:jc w:val="center"/>
      <w:rPr>
        <w:rStyle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Style w:val="29"/>
      </w:rPr>
      <w:t>第</w:t>
    </w:r>
    <w:r>
      <w:fldChar w:fldCharType="begin"/>
    </w:r>
    <w:r>
      <w:rPr>
        <w:rStyle w:val="29"/>
      </w:rPr>
      <w:instrText xml:space="preserve"> PAGE </w:instrText>
    </w:r>
    <w:r>
      <w:fldChar w:fldCharType="separate"/>
    </w:r>
    <w:r>
      <w:rPr>
        <w:rStyle w:val="29"/>
      </w:rPr>
      <w:t>46</w:t>
    </w:r>
    <w:r>
      <w:fldChar w:fldCharType="end"/>
    </w:r>
    <w:r>
      <w:rPr>
        <w:rStyle w:val="29"/>
      </w:rPr>
      <w:t>页共</w:t>
    </w:r>
    <w:r>
      <w:fldChar w:fldCharType="begin"/>
    </w:r>
    <w:r>
      <w:rPr>
        <w:rStyle w:val="29"/>
      </w:rPr>
      <w:instrText xml:space="preserve"> NUMPAGES </w:instrText>
    </w:r>
    <w:r>
      <w:fldChar w:fldCharType="separate"/>
    </w:r>
    <w:r>
      <w:rPr>
        <w:rStyle w:val="29"/>
      </w:rPr>
      <w:t>46</w:t>
    </w:r>
    <w:r>
      <w:fldChar w:fldCharType="end"/>
    </w:r>
    <w:r>
      <w:rPr>
        <w:rStyle w:val="29"/>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t>陕西安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隶书" w:eastAsia="隶书"/>
        <w:spacing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34BA"/>
    <w:multiLevelType w:val="singleLevel"/>
    <w:tmpl w:val="031434BA"/>
    <w:lvl w:ilvl="0" w:tentative="0">
      <w:start w:val="1"/>
      <w:numFmt w:val="decimal"/>
      <w:suff w:val="nothing"/>
      <w:lvlText w:val="%1、"/>
      <w:lvlJc w:val="left"/>
    </w:lvl>
  </w:abstractNum>
  <w:abstractNum w:abstractNumId="1">
    <w:nsid w:val="0B4C24C7"/>
    <w:multiLevelType w:val="multilevel"/>
    <w:tmpl w:val="0B4C24C7"/>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2367DA"/>
    <w:multiLevelType w:val="singleLevel"/>
    <w:tmpl w:val="102367DA"/>
    <w:lvl w:ilvl="0" w:tentative="0">
      <w:start w:val="3"/>
      <w:numFmt w:val="chineseCounting"/>
      <w:suff w:val="nothing"/>
      <w:lvlText w:val="（%1）"/>
      <w:lvlJc w:val="left"/>
      <w:rPr>
        <w:rFonts w:hint="eastAsia"/>
      </w:rPr>
    </w:lvl>
  </w:abstractNum>
  <w:abstractNum w:abstractNumId="3">
    <w:nsid w:val="2C0CABB1"/>
    <w:multiLevelType w:val="singleLevel"/>
    <w:tmpl w:val="2C0CABB1"/>
    <w:lvl w:ilvl="0" w:tentative="0">
      <w:start w:val="1"/>
      <w:numFmt w:val="decimal"/>
      <w:suff w:val="nothing"/>
      <w:lvlText w:val="%1、"/>
      <w:lvlJc w:val="left"/>
    </w:lvl>
  </w:abstractNum>
  <w:abstractNum w:abstractNumId="4">
    <w:nsid w:val="54BE0519"/>
    <w:multiLevelType w:val="singleLevel"/>
    <w:tmpl w:val="54BE0519"/>
    <w:lvl w:ilvl="0" w:tentative="0">
      <w:start w:val="5"/>
      <w:numFmt w:val="chineseCounting"/>
      <w:suff w:val="space"/>
      <w:lvlText w:val="第%1章"/>
      <w:lvlJc w:val="left"/>
    </w:lvl>
  </w:abstractNum>
  <w:abstractNum w:abstractNumId="5">
    <w:nsid w:val="55CFFBAC"/>
    <w:multiLevelType w:val="singleLevel"/>
    <w:tmpl w:val="55CFFBAC"/>
    <w:lvl w:ilvl="0" w:tentative="0">
      <w:start w:val="1"/>
      <w:numFmt w:val="chineseCounting"/>
      <w:pStyle w:val="82"/>
      <w:suff w:val="nothing"/>
      <w:lvlText w:val="%1、"/>
      <w:lvlJc w:val="left"/>
    </w:lvl>
  </w:abstractNum>
  <w:abstractNum w:abstractNumId="6">
    <w:nsid w:val="55EADBF1"/>
    <w:multiLevelType w:val="singleLevel"/>
    <w:tmpl w:val="55EADBF1"/>
    <w:lvl w:ilvl="0" w:tentative="0">
      <w:start w:val="1"/>
      <w:numFmt w:val="decimal"/>
      <w:suff w:val="nothing"/>
      <w:lvlText w:val="%1、"/>
      <w:lvlJc w:val="left"/>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1CD7"/>
    <w:rsid w:val="000945C3"/>
    <w:rsid w:val="001206FA"/>
    <w:rsid w:val="00192225"/>
    <w:rsid w:val="001D078A"/>
    <w:rsid w:val="00216E9C"/>
    <w:rsid w:val="0036614A"/>
    <w:rsid w:val="0039459E"/>
    <w:rsid w:val="004C41AF"/>
    <w:rsid w:val="004E3E45"/>
    <w:rsid w:val="00610950"/>
    <w:rsid w:val="006338BE"/>
    <w:rsid w:val="00673A5F"/>
    <w:rsid w:val="00747555"/>
    <w:rsid w:val="008751AB"/>
    <w:rsid w:val="00921CD7"/>
    <w:rsid w:val="00A122CC"/>
    <w:rsid w:val="00B06113"/>
    <w:rsid w:val="00B97423"/>
    <w:rsid w:val="00CC7A28"/>
    <w:rsid w:val="00D85EE2"/>
    <w:rsid w:val="00DA7FF2"/>
    <w:rsid w:val="00DF7B52"/>
    <w:rsid w:val="00F15BAB"/>
    <w:rsid w:val="03493AB6"/>
    <w:rsid w:val="07C942D2"/>
    <w:rsid w:val="0C35769E"/>
    <w:rsid w:val="0F062C8A"/>
    <w:rsid w:val="10EF2271"/>
    <w:rsid w:val="13D52267"/>
    <w:rsid w:val="16665B46"/>
    <w:rsid w:val="17105514"/>
    <w:rsid w:val="18330FE5"/>
    <w:rsid w:val="1B6C2577"/>
    <w:rsid w:val="1FA66EF9"/>
    <w:rsid w:val="20653ACF"/>
    <w:rsid w:val="24561CC2"/>
    <w:rsid w:val="27E75514"/>
    <w:rsid w:val="2E021377"/>
    <w:rsid w:val="2F4F0138"/>
    <w:rsid w:val="3159652C"/>
    <w:rsid w:val="3B351A46"/>
    <w:rsid w:val="3C2123EC"/>
    <w:rsid w:val="41346F3B"/>
    <w:rsid w:val="437450E3"/>
    <w:rsid w:val="44920840"/>
    <w:rsid w:val="44981EC6"/>
    <w:rsid w:val="4697285C"/>
    <w:rsid w:val="4715136B"/>
    <w:rsid w:val="481A2068"/>
    <w:rsid w:val="48EC3BDA"/>
    <w:rsid w:val="4AD42952"/>
    <w:rsid w:val="4B8526CA"/>
    <w:rsid w:val="4C605A8E"/>
    <w:rsid w:val="4D42104C"/>
    <w:rsid w:val="4D631879"/>
    <w:rsid w:val="4DD10B15"/>
    <w:rsid w:val="56701559"/>
    <w:rsid w:val="57023513"/>
    <w:rsid w:val="5B57458D"/>
    <w:rsid w:val="6239219F"/>
    <w:rsid w:val="628548A7"/>
    <w:rsid w:val="645410B3"/>
    <w:rsid w:val="66FC76C5"/>
    <w:rsid w:val="671E4E0D"/>
    <w:rsid w:val="6E3E10E3"/>
    <w:rsid w:val="72BA6EFC"/>
    <w:rsid w:val="74E5324C"/>
    <w:rsid w:val="75C30BE7"/>
    <w:rsid w:val="769C2227"/>
    <w:rsid w:val="78B26A23"/>
    <w:rsid w:val="7BFA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5"/>
    <w:qFormat/>
    <w:uiPriority w:val="0"/>
    <w:pPr>
      <w:keepNext/>
      <w:keepLines/>
      <w:spacing w:before="260" w:after="260" w:line="416" w:lineRule="auto"/>
      <w:ind w:firstLine="628"/>
      <w:jc w:val="center"/>
      <w:outlineLvl w:val="1"/>
    </w:pPr>
    <w:rPr>
      <w:rFonts w:ascii="Arial" w:hAnsi="Arial" w:eastAsia="黑体" w:cs="Times New Roman"/>
      <w:b/>
      <w:bCs/>
      <w:kern w:val="0"/>
      <w:sz w:val="32"/>
      <w:szCs w:val="32"/>
    </w:rPr>
  </w:style>
  <w:style w:type="paragraph" w:styleId="5">
    <w:name w:val="heading 3"/>
    <w:basedOn w:val="1"/>
    <w:next w:val="1"/>
    <w:link w:val="46"/>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6"/>
    <w:unhideWhenUsed/>
    <w:qFormat/>
    <w:uiPriority w:val="0"/>
    <w:pPr>
      <w:spacing w:after="120"/>
    </w:pPr>
    <w:rPr>
      <w:rFonts w:ascii="等线" w:hAnsi="等线" w:eastAsia="等线" w:cs="Times New Roman"/>
      <w:szCs w:val="24"/>
    </w:rPr>
  </w:style>
  <w:style w:type="paragraph" w:styleId="6">
    <w:name w:val="Normal Indent"/>
    <w:basedOn w:val="1"/>
    <w:qFormat/>
    <w:uiPriority w:val="99"/>
    <w:pPr>
      <w:ind w:firstLine="420"/>
    </w:pPr>
    <w:rPr>
      <w:rFonts w:ascii="Times New Roman" w:hAnsi="Times New Roman" w:eastAsia="宋体" w:cs="Times New Roman"/>
      <w:szCs w:val="21"/>
    </w:rPr>
  </w:style>
  <w:style w:type="paragraph" w:styleId="7">
    <w:name w:val="Document Map"/>
    <w:basedOn w:val="1"/>
    <w:link w:val="47"/>
    <w:semiHidden/>
    <w:qFormat/>
    <w:uiPriority w:val="0"/>
    <w:rPr>
      <w:rFonts w:ascii="宋体" w:hAnsi="Times New Roman" w:eastAsia="宋体" w:cs="Times New Roman"/>
      <w:kern w:val="0"/>
      <w:sz w:val="18"/>
      <w:szCs w:val="18"/>
    </w:rPr>
  </w:style>
  <w:style w:type="paragraph" w:styleId="8">
    <w:name w:val="annotation text"/>
    <w:basedOn w:val="1"/>
    <w:link w:val="55"/>
    <w:qFormat/>
    <w:uiPriority w:val="0"/>
    <w:pPr>
      <w:jc w:val="left"/>
    </w:pPr>
    <w:rPr>
      <w:rFonts w:ascii="Times New Roman" w:hAnsi="Times New Roman" w:eastAsia="宋体" w:cs="Times New Roman"/>
      <w:kern w:val="0"/>
      <w:szCs w:val="21"/>
    </w:rPr>
  </w:style>
  <w:style w:type="paragraph" w:styleId="9">
    <w:name w:val="Body Text 3"/>
    <w:basedOn w:val="1"/>
    <w:link w:val="49"/>
    <w:qFormat/>
    <w:uiPriority w:val="99"/>
    <w:pPr>
      <w:spacing w:beforeLines="50" w:afterLines="50" w:line="460" w:lineRule="exact"/>
      <w:jc w:val="center"/>
    </w:pPr>
    <w:rPr>
      <w:rFonts w:ascii="仿宋_GB2312" w:hAnsi="Arial" w:eastAsia="仿宋_GB2312" w:cs="Times New Roman"/>
      <w:kern w:val="0"/>
      <w:sz w:val="28"/>
      <w:szCs w:val="28"/>
    </w:rPr>
  </w:style>
  <w:style w:type="paragraph" w:styleId="10">
    <w:name w:val="Closing"/>
    <w:basedOn w:val="1"/>
    <w:next w:val="1"/>
    <w:link w:val="74"/>
    <w:qFormat/>
    <w:uiPriority w:val="0"/>
    <w:pPr>
      <w:widowControl/>
      <w:ind w:left="4320"/>
      <w:jc w:val="left"/>
    </w:pPr>
    <w:rPr>
      <w:rFonts w:ascii="Calibri" w:hAnsi="Calibri" w:eastAsia="等线" w:cs="Times New Roman"/>
    </w:rPr>
  </w:style>
  <w:style w:type="paragraph" w:styleId="11">
    <w:name w:val="Body Text Indent"/>
    <w:basedOn w:val="1"/>
    <w:link w:val="50"/>
    <w:qFormat/>
    <w:uiPriority w:val="0"/>
    <w:pPr>
      <w:ind w:firstLine="660"/>
    </w:pPr>
    <w:rPr>
      <w:rFonts w:ascii="宋体" w:hAnsi="宋体" w:eastAsia="宋体" w:cs="Times New Roman"/>
      <w:color w:val="000000"/>
      <w:kern w:val="0"/>
      <w:sz w:val="24"/>
      <w:szCs w:val="24"/>
    </w:rPr>
  </w:style>
  <w:style w:type="paragraph" w:styleId="12">
    <w:name w:val="toc 3"/>
    <w:basedOn w:val="1"/>
    <w:next w:val="1"/>
    <w:qFormat/>
    <w:uiPriority w:val="0"/>
    <w:pPr>
      <w:ind w:left="840" w:leftChars="400"/>
    </w:pPr>
    <w:rPr>
      <w:rFonts w:ascii="Times New Roman" w:hAnsi="Times New Roman" w:eastAsia="宋体" w:cs="Times New Roman"/>
      <w:szCs w:val="24"/>
    </w:rPr>
  </w:style>
  <w:style w:type="paragraph" w:styleId="13">
    <w:name w:val="Plain Text"/>
    <w:basedOn w:val="1"/>
    <w:link w:val="51"/>
    <w:qFormat/>
    <w:uiPriority w:val="0"/>
    <w:rPr>
      <w:rFonts w:ascii="宋体" w:hAnsi="Courier New" w:eastAsia="宋体" w:cs="Times New Roman"/>
      <w:kern w:val="0"/>
      <w:szCs w:val="20"/>
    </w:rPr>
  </w:style>
  <w:style w:type="paragraph" w:styleId="14">
    <w:name w:val="Date"/>
    <w:basedOn w:val="1"/>
    <w:next w:val="1"/>
    <w:link w:val="52"/>
    <w:qFormat/>
    <w:uiPriority w:val="0"/>
    <w:rPr>
      <w:rFonts w:ascii="Times New Roman" w:hAnsi="Times New Roman" w:eastAsia="宋体" w:cs="Times New Roman"/>
      <w:b/>
      <w:bCs/>
      <w:kern w:val="0"/>
      <w:sz w:val="28"/>
      <w:szCs w:val="28"/>
    </w:rPr>
  </w:style>
  <w:style w:type="paragraph" w:styleId="15">
    <w:name w:val="Body Text Indent 2"/>
    <w:basedOn w:val="1"/>
    <w:link w:val="78"/>
    <w:qFormat/>
    <w:uiPriority w:val="0"/>
    <w:pPr>
      <w:spacing w:after="120" w:line="480" w:lineRule="auto"/>
      <w:ind w:left="420" w:leftChars="200"/>
    </w:pPr>
    <w:rPr>
      <w:rFonts w:ascii="等线" w:hAnsi="等线" w:eastAsia="等线" w:cs="Times New Roman"/>
      <w:szCs w:val="24"/>
    </w:rPr>
  </w:style>
  <w:style w:type="paragraph" w:styleId="16">
    <w:name w:val="Balloon Text"/>
    <w:basedOn w:val="1"/>
    <w:link w:val="53"/>
    <w:semiHidden/>
    <w:qFormat/>
    <w:uiPriority w:val="0"/>
    <w:rPr>
      <w:rFonts w:ascii="Times New Roman" w:hAnsi="Times New Roman" w:eastAsia="宋体" w:cs="Times New Roman"/>
      <w:kern w:val="0"/>
      <w:sz w:val="18"/>
      <w:szCs w:val="18"/>
    </w:rPr>
  </w:style>
  <w:style w:type="paragraph" w:styleId="17">
    <w:name w:val="footer"/>
    <w:basedOn w:val="1"/>
    <w:link w:val="43"/>
    <w:unhideWhenUsed/>
    <w:qFormat/>
    <w:uiPriority w:val="0"/>
    <w:pPr>
      <w:tabs>
        <w:tab w:val="center" w:pos="4153"/>
        <w:tab w:val="right" w:pos="8306"/>
      </w:tabs>
      <w:snapToGrid w:val="0"/>
      <w:jc w:val="left"/>
    </w:pPr>
    <w:rPr>
      <w:sz w:val="18"/>
      <w:szCs w:val="18"/>
    </w:rPr>
  </w:style>
  <w:style w:type="paragraph" w:styleId="18">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rPr>
      <w:rFonts w:ascii="Times New Roman" w:hAnsi="Times New Roman" w:eastAsia="宋体" w:cs="Times New Roman"/>
      <w:sz w:val="24"/>
      <w:szCs w:val="24"/>
    </w:rPr>
  </w:style>
  <w:style w:type="paragraph" w:styleId="20">
    <w:name w:val="Body Text Indent 3"/>
    <w:basedOn w:val="1"/>
    <w:link w:val="80"/>
    <w:qFormat/>
    <w:uiPriority w:val="0"/>
    <w:pPr>
      <w:spacing w:after="120"/>
      <w:ind w:left="420" w:leftChars="200"/>
    </w:pPr>
    <w:rPr>
      <w:rFonts w:ascii="Calibri" w:hAnsi="Calibri" w:eastAsia="宋体" w:cs="Times New Roman"/>
      <w:sz w:val="16"/>
      <w:szCs w:val="24"/>
    </w:rPr>
  </w:style>
  <w:style w:type="paragraph" w:styleId="21">
    <w:name w:val="toc 2"/>
    <w:basedOn w:val="1"/>
    <w:next w:val="1"/>
    <w:semiHidden/>
    <w:qFormat/>
    <w:uiPriority w:val="0"/>
    <w:pPr>
      <w:spacing w:before="100" w:beforeAutospacing="1" w:after="100" w:afterAutospacing="1"/>
      <w:ind w:left="420" w:leftChars="200"/>
    </w:pPr>
    <w:rPr>
      <w:rFonts w:ascii="Times New Roman" w:hAnsi="Times New Roman" w:eastAsia="宋体" w:cs="Times New Roman"/>
      <w:sz w:val="24"/>
      <w:szCs w:val="24"/>
    </w:rPr>
  </w:style>
  <w:style w:type="paragraph" w:styleId="22">
    <w:name w:val="Normal (Web)"/>
    <w:basedOn w:val="1"/>
    <w:qFormat/>
    <w:uiPriority w:val="0"/>
    <w:pPr>
      <w:widowControl/>
      <w:jc w:val="left"/>
    </w:pPr>
    <w:rPr>
      <w:rFonts w:ascii="宋体" w:hAnsi="宋体" w:eastAsia="宋体" w:cs="宋体"/>
      <w:kern w:val="0"/>
      <w:sz w:val="24"/>
      <w:szCs w:val="24"/>
    </w:rPr>
  </w:style>
  <w:style w:type="paragraph" w:styleId="23">
    <w:name w:val="annotation subject"/>
    <w:basedOn w:val="8"/>
    <w:next w:val="8"/>
    <w:link w:val="54"/>
    <w:semiHidden/>
    <w:qFormat/>
    <w:uiPriority w:val="0"/>
    <w:rPr>
      <w:b/>
      <w:bCs/>
    </w:rPr>
  </w:style>
  <w:style w:type="paragraph" w:styleId="24">
    <w:name w:val="Body Text First Indent"/>
    <w:basedOn w:val="2"/>
    <w:link w:val="81"/>
    <w:qFormat/>
    <w:uiPriority w:val="0"/>
    <w:pPr>
      <w:ind w:firstLine="420" w:firstLineChars="100"/>
    </w:pPr>
    <w:rPr>
      <w:szCs w:val="22"/>
    </w:rPr>
  </w:style>
  <w:style w:type="table" w:styleId="26">
    <w:name w:val="Table Grid"/>
    <w:basedOn w:val="25"/>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rFonts w:cs="Times New Roman"/>
    </w:rPr>
  </w:style>
  <w:style w:type="character" w:styleId="29">
    <w:name w:val="page number"/>
    <w:unhideWhenUsed/>
    <w:qFormat/>
    <w:uiPriority w:val="0"/>
  </w:style>
  <w:style w:type="character" w:styleId="30">
    <w:name w:val="FollowedHyperlink"/>
    <w:qFormat/>
    <w:uiPriority w:val="99"/>
    <w:rPr>
      <w:rFonts w:cs="Times New Roman"/>
      <w:color w:val="800080"/>
      <w:u w:val="none"/>
    </w:rPr>
  </w:style>
  <w:style w:type="character" w:styleId="31">
    <w:name w:val="Emphasis"/>
    <w:qFormat/>
    <w:uiPriority w:val="20"/>
    <w:rPr>
      <w:rFonts w:cs="Times New Roman"/>
    </w:rPr>
  </w:style>
  <w:style w:type="character" w:styleId="32">
    <w:name w:val="HTML Definition"/>
    <w:qFormat/>
    <w:uiPriority w:val="99"/>
    <w:rPr>
      <w:rFonts w:cs="Times New Roman"/>
    </w:rPr>
  </w:style>
  <w:style w:type="character" w:styleId="33">
    <w:name w:val="HTML Typewriter"/>
    <w:qFormat/>
    <w:uiPriority w:val="99"/>
    <w:rPr>
      <w:rFonts w:ascii="monospace" w:hAnsi="monospace" w:cs="Times New Roman"/>
      <w:sz w:val="20"/>
    </w:rPr>
  </w:style>
  <w:style w:type="character" w:styleId="34">
    <w:name w:val="HTML Acronym"/>
    <w:qFormat/>
    <w:uiPriority w:val="99"/>
    <w:rPr>
      <w:rFonts w:cs="Times New Roman"/>
    </w:rPr>
  </w:style>
  <w:style w:type="character" w:styleId="35">
    <w:name w:val="HTML Variable"/>
    <w:qFormat/>
    <w:uiPriority w:val="99"/>
    <w:rPr>
      <w:rFonts w:cs="Times New Roman"/>
    </w:rPr>
  </w:style>
  <w:style w:type="character" w:styleId="36">
    <w:name w:val="Hyperlink"/>
    <w:qFormat/>
    <w:uiPriority w:val="0"/>
    <w:rPr>
      <w:rFonts w:cs="Times New Roman"/>
      <w:color w:val="0000FF"/>
      <w:u w:val="none"/>
    </w:rPr>
  </w:style>
  <w:style w:type="character" w:styleId="37">
    <w:name w:val="HTML Code"/>
    <w:qFormat/>
    <w:uiPriority w:val="99"/>
    <w:rPr>
      <w:rFonts w:ascii="monospace" w:hAnsi="monospace" w:cs="Times New Roman"/>
      <w:sz w:val="20"/>
    </w:rPr>
  </w:style>
  <w:style w:type="character" w:styleId="38">
    <w:name w:val="annotation reference"/>
    <w:semiHidden/>
    <w:qFormat/>
    <w:uiPriority w:val="0"/>
    <w:rPr>
      <w:rFonts w:cs="Times New Roman"/>
      <w:sz w:val="21"/>
    </w:rPr>
  </w:style>
  <w:style w:type="character" w:styleId="39">
    <w:name w:val="HTML Cite"/>
    <w:qFormat/>
    <w:uiPriority w:val="99"/>
    <w:rPr>
      <w:rFonts w:cs="Times New Roman"/>
    </w:rPr>
  </w:style>
  <w:style w:type="character" w:styleId="40">
    <w:name w:val="HTML Keyboard"/>
    <w:qFormat/>
    <w:uiPriority w:val="99"/>
    <w:rPr>
      <w:rFonts w:ascii="monospace" w:hAnsi="monospace" w:cs="Times New Roman"/>
      <w:sz w:val="20"/>
    </w:rPr>
  </w:style>
  <w:style w:type="character" w:styleId="41">
    <w:name w:val="HTML Sample"/>
    <w:qFormat/>
    <w:uiPriority w:val="99"/>
    <w:rPr>
      <w:rFonts w:ascii="monospace" w:hAnsi="monospace" w:cs="Times New Roman"/>
    </w:rPr>
  </w:style>
  <w:style w:type="character" w:customStyle="1" w:styleId="42">
    <w:name w:val="页眉 Char"/>
    <w:basedOn w:val="27"/>
    <w:link w:val="18"/>
    <w:semiHidden/>
    <w:qFormat/>
    <w:uiPriority w:val="99"/>
    <w:rPr>
      <w:sz w:val="18"/>
      <w:szCs w:val="18"/>
    </w:rPr>
  </w:style>
  <w:style w:type="character" w:customStyle="1" w:styleId="43">
    <w:name w:val="页脚 Char"/>
    <w:basedOn w:val="27"/>
    <w:link w:val="17"/>
    <w:qFormat/>
    <w:uiPriority w:val="99"/>
    <w:rPr>
      <w:sz w:val="18"/>
      <w:szCs w:val="18"/>
    </w:rPr>
  </w:style>
  <w:style w:type="character" w:customStyle="1" w:styleId="44">
    <w:name w:val="标题 1 Char"/>
    <w:basedOn w:val="27"/>
    <w:link w:val="3"/>
    <w:qFormat/>
    <w:uiPriority w:val="0"/>
    <w:rPr>
      <w:rFonts w:ascii="Times New Roman" w:hAnsi="Times New Roman" w:eastAsia="宋体" w:cs="Times New Roman"/>
      <w:b/>
      <w:bCs/>
      <w:kern w:val="44"/>
      <w:sz w:val="44"/>
      <w:szCs w:val="44"/>
    </w:rPr>
  </w:style>
  <w:style w:type="character" w:customStyle="1" w:styleId="45">
    <w:name w:val="标题 2 Char"/>
    <w:basedOn w:val="27"/>
    <w:link w:val="4"/>
    <w:qFormat/>
    <w:uiPriority w:val="0"/>
    <w:rPr>
      <w:rFonts w:ascii="Arial" w:hAnsi="Arial" w:eastAsia="黑体" w:cs="Times New Roman"/>
      <w:b/>
      <w:bCs/>
      <w:kern w:val="0"/>
      <w:sz w:val="32"/>
      <w:szCs w:val="32"/>
    </w:rPr>
  </w:style>
  <w:style w:type="character" w:customStyle="1" w:styleId="46">
    <w:name w:val="标题 3 Char"/>
    <w:basedOn w:val="27"/>
    <w:link w:val="5"/>
    <w:qFormat/>
    <w:uiPriority w:val="0"/>
    <w:rPr>
      <w:rFonts w:ascii="Times New Roman" w:hAnsi="Times New Roman" w:eastAsia="宋体" w:cs="Times New Roman"/>
      <w:b/>
      <w:bCs/>
      <w:kern w:val="0"/>
      <w:sz w:val="32"/>
      <w:szCs w:val="32"/>
    </w:rPr>
  </w:style>
  <w:style w:type="character" w:customStyle="1" w:styleId="47">
    <w:name w:val="文档结构图 Char"/>
    <w:basedOn w:val="27"/>
    <w:link w:val="7"/>
    <w:semiHidden/>
    <w:qFormat/>
    <w:uiPriority w:val="0"/>
    <w:rPr>
      <w:rFonts w:ascii="宋体" w:hAnsi="Times New Roman" w:eastAsia="宋体" w:cs="Times New Roman"/>
      <w:kern w:val="0"/>
      <w:sz w:val="18"/>
      <w:szCs w:val="18"/>
    </w:rPr>
  </w:style>
  <w:style w:type="character" w:customStyle="1" w:styleId="48">
    <w:name w:val="批注文字 Char"/>
    <w:basedOn w:val="27"/>
    <w:link w:val="8"/>
    <w:qFormat/>
    <w:uiPriority w:val="0"/>
  </w:style>
  <w:style w:type="character" w:customStyle="1" w:styleId="49">
    <w:name w:val="正文文本 3 Char"/>
    <w:basedOn w:val="27"/>
    <w:link w:val="9"/>
    <w:qFormat/>
    <w:uiPriority w:val="99"/>
    <w:rPr>
      <w:rFonts w:ascii="仿宋_GB2312" w:hAnsi="Arial" w:eastAsia="仿宋_GB2312" w:cs="Times New Roman"/>
      <w:kern w:val="0"/>
      <w:sz w:val="28"/>
      <w:szCs w:val="28"/>
    </w:rPr>
  </w:style>
  <w:style w:type="character" w:customStyle="1" w:styleId="50">
    <w:name w:val="正文文本缩进 Char"/>
    <w:basedOn w:val="27"/>
    <w:link w:val="11"/>
    <w:qFormat/>
    <w:uiPriority w:val="0"/>
    <w:rPr>
      <w:rFonts w:ascii="宋体" w:hAnsi="宋体" w:eastAsia="宋体" w:cs="Times New Roman"/>
      <w:color w:val="000000"/>
      <w:kern w:val="0"/>
      <w:sz w:val="24"/>
      <w:szCs w:val="24"/>
    </w:rPr>
  </w:style>
  <w:style w:type="character" w:customStyle="1" w:styleId="51">
    <w:name w:val="纯文本 Char"/>
    <w:basedOn w:val="27"/>
    <w:link w:val="13"/>
    <w:qFormat/>
    <w:uiPriority w:val="0"/>
    <w:rPr>
      <w:rFonts w:ascii="宋体" w:hAnsi="Courier New" w:eastAsia="宋体" w:cs="Times New Roman"/>
      <w:kern w:val="0"/>
      <w:szCs w:val="20"/>
    </w:rPr>
  </w:style>
  <w:style w:type="character" w:customStyle="1" w:styleId="52">
    <w:name w:val="日期 Char"/>
    <w:basedOn w:val="27"/>
    <w:link w:val="14"/>
    <w:qFormat/>
    <w:uiPriority w:val="0"/>
    <w:rPr>
      <w:rFonts w:ascii="Times New Roman" w:hAnsi="Times New Roman" w:eastAsia="宋体" w:cs="Times New Roman"/>
      <w:b/>
      <w:bCs/>
      <w:kern w:val="0"/>
      <w:sz w:val="28"/>
      <w:szCs w:val="28"/>
    </w:rPr>
  </w:style>
  <w:style w:type="character" w:customStyle="1" w:styleId="53">
    <w:name w:val="批注框文本 Char"/>
    <w:basedOn w:val="27"/>
    <w:link w:val="16"/>
    <w:semiHidden/>
    <w:qFormat/>
    <w:uiPriority w:val="0"/>
    <w:rPr>
      <w:rFonts w:ascii="Times New Roman" w:hAnsi="Times New Roman" w:eastAsia="宋体" w:cs="Times New Roman"/>
      <w:kern w:val="0"/>
      <w:sz w:val="18"/>
      <w:szCs w:val="18"/>
    </w:rPr>
  </w:style>
  <w:style w:type="character" w:customStyle="1" w:styleId="54">
    <w:name w:val="批注主题 Char"/>
    <w:basedOn w:val="48"/>
    <w:link w:val="23"/>
    <w:semiHidden/>
    <w:qFormat/>
    <w:uiPriority w:val="0"/>
    <w:rPr>
      <w:rFonts w:ascii="Times New Roman" w:hAnsi="Times New Roman" w:eastAsia="宋体" w:cs="Times New Roman"/>
      <w:b/>
      <w:bCs/>
      <w:kern w:val="0"/>
      <w:szCs w:val="21"/>
    </w:rPr>
  </w:style>
  <w:style w:type="character" w:customStyle="1" w:styleId="55">
    <w:name w:val="批注文字 Char1"/>
    <w:link w:val="8"/>
    <w:qFormat/>
    <w:locked/>
    <w:uiPriority w:val="0"/>
    <w:rPr>
      <w:rFonts w:ascii="Times New Roman" w:hAnsi="Times New Roman" w:eastAsia="宋体" w:cs="Times New Roman"/>
      <w:kern w:val="0"/>
      <w:szCs w:val="21"/>
    </w:rPr>
  </w:style>
  <w:style w:type="character" w:customStyle="1" w:styleId="56">
    <w:name w:val="Plain Text Char"/>
    <w:qFormat/>
    <w:locked/>
    <w:uiPriority w:val="99"/>
    <w:rPr>
      <w:rFonts w:ascii="宋体" w:hAnsi="Courier New" w:eastAsia="宋体" w:cs="Times New Roman"/>
      <w:kern w:val="2"/>
      <w:sz w:val="21"/>
    </w:rPr>
  </w:style>
  <w:style w:type="character" w:customStyle="1" w:styleId="57">
    <w:name w:val="Footer Char"/>
    <w:qFormat/>
    <w:locked/>
    <w:uiPriority w:val="99"/>
    <w:rPr>
      <w:rFonts w:eastAsia="宋体" w:cs="Times New Roman"/>
      <w:sz w:val="18"/>
    </w:rPr>
  </w:style>
  <w:style w:type="character" w:customStyle="1" w:styleId="58">
    <w:name w:val="Header Char"/>
    <w:qFormat/>
    <w:locked/>
    <w:uiPriority w:val="99"/>
    <w:rPr>
      <w:rFonts w:eastAsia="宋体" w:cs="Times New Roman"/>
      <w:sz w:val="18"/>
    </w:rPr>
  </w:style>
  <w:style w:type="paragraph" w:customStyle="1" w:styleId="59">
    <w:name w:val="样式1"/>
    <w:basedOn w:val="1"/>
    <w:qFormat/>
    <w:uiPriority w:val="99"/>
    <w:pPr>
      <w:adjustRightInd w:val="0"/>
      <w:textAlignment w:val="baseline"/>
    </w:pPr>
    <w:rPr>
      <w:rFonts w:ascii="宋体" w:hAnsi="宋体" w:eastAsia="宋体" w:cs="宋体"/>
      <w:kern w:val="0"/>
      <w:szCs w:val="21"/>
    </w:rPr>
  </w:style>
  <w:style w:type="character" w:customStyle="1" w:styleId="60">
    <w:name w:val="apple-converted-space"/>
    <w:qFormat/>
    <w:uiPriority w:val="99"/>
    <w:rPr>
      <w:rFonts w:cs="Times New Roman"/>
    </w:rPr>
  </w:style>
  <w:style w:type="paragraph" w:customStyle="1" w:styleId="61">
    <w:name w:val="Char1 Char Char Char Char Char Char"/>
    <w:basedOn w:val="1"/>
    <w:qFormat/>
    <w:uiPriority w:val="99"/>
    <w:rPr>
      <w:rFonts w:ascii="Tahoma" w:hAnsi="Tahoma" w:eastAsia="宋体" w:cs="Tahoma"/>
      <w:sz w:val="24"/>
      <w:szCs w:val="24"/>
    </w:rPr>
  </w:style>
  <w:style w:type="paragraph" w:customStyle="1" w:styleId="62">
    <w:name w:val="默认段落字体 Para Char Char Char1 Char Char Char Char Char Char Char"/>
    <w:basedOn w:val="1"/>
    <w:qFormat/>
    <w:uiPriority w:val="99"/>
    <w:pPr>
      <w:adjustRightInd w:val="0"/>
      <w:spacing w:line="360" w:lineRule="auto"/>
    </w:pPr>
    <w:rPr>
      <w:rFonts w:ascii="Times New Roman" w:hAnsi="Times New Roman" w:eastAsia="宋体" w:cs="Times New Roman"/>
      <w:szCs w:val="21"/>
    </w:rPr>
  </w:style>
  <w:style w:type="character" w:customStyle="1" w:styleId="63">
    <w:name w:val="15"/>
    <w:qFormat/>
    <w:uiPriority w:val="99"/>
    <w:rPr>
      <w:rFonts w:ascii="Times New Roman" w:hAnsi="Times New Roman"/>
      <w:color w:val="0000FF"/>
      <w:u w:val="single"/>
    </w:rPr>
  </w:style>
  <w:style w:type="paragraph" w:customStyle="1" w:styleId="64">
    <w:name w:val="Char"/>
    <w:basedOn w:val="1"/>
    <w:qFormat/>
    <w:uiPriority w:val="0"/>
    <w:rPr>
      <w:rFonts w:ascii="Tahoma" w:hAnsi="Tahoma" w:eastAsia="宋体" w:cs="Tahoma"/>
      <w:sz w:val="24"/>
      <w:szCs w:val="24"/>
    </w:rPr>
  </w:style>
  <w:style w:type="paragraph" w:customStyle="1" w:styleId="65">
    <w:name w:val="D&amp;L"/>
    <w:basedOn w:val="18"/>
    <w:qFormat/>
    <w:uiPriority w:val="99"/>
    <w:pPr>
      <w:pBdr>
        <w:bottom w:val="thinThickSmallGap" w:color="auto" w:sz="12" w:space="1"/>
      </w:pBdr>
      <w:tabs>
        <w:tab w:val="clear" w:pos="4153"/>
        <w:tab w:val="clear" w:pos="8306"/>
      </w:tabs>
      <w:adjustRightInd w:val="0"/>
      <w:snapToGrid/>
      <w:spacing w:line="240" w:lineRule="atLeast"/>
      <w:textAlignment w:val="baseline"/>
    </w:pPr>
    <w:rPr>
      <w:rFonts w:ascii="Times New Roman" w:hAnsi="Times New Roman" w:eastAsia="宋体" w:cs="Times New Roman"/>
      <w:kern w:val="0"/>
      <w:sz w:val="24"/>
      <w:szCs w:val="24"/>
    </w:rPr>
  </w:style>
  <w:style w:type="paragraph" w:customStyle="1" w:styleId="66">
    <w:name w:val="Char Char Char Char Char Char Char1 Char"/>
    <w:basedOn w:val="1"/>
    <w:qFormat/>
    <w:uiPriority w:val="99"/>
    <w:rPr>
      <w:rFonts w:ascii="Tahoma" w:hAnsi="Tahoma" w:eastAsia="宋体" w:cs="Tahoma"/>
      <w:sz w:val="24"/>
      <w:szCs w:val="24"/>
    </w:rPr>
  </w:style>
  <w:style w:type="paragraph" w:customStyle="1" w:styleId="67">
    <w:name w:val="xl31"/>
    <w:basedOn w:val="1"/>
    <w:qFormat/>
    <w:uiPriority w:val="99"/>
    <w:pPr>
      <w:widowControl/>
      <w:spacing w:before="100" w:beforeAutospacing="1" w:after="100" w:afterAutospacing="1"/>
      <w:jc w:val="center"/>
    </w:pPr>
    <w:rPr>
      <w:rFonts w:ascii="宋体" w:hAnsi="宋体" w:eastAsia="宋体" w:cs="宋体"/>
      <w:b/>
      <w:bCs/>
      <w:kern w:val="0"/>
      <w:sz w:val="28"/>
      <w:szCs w:val="28"/>
    </w:rPr>
  </w:style>
  <w:style w:type="character" w:customStyle="1" w:styleId="68">
    <w:name w:val="10"/>
    <w:qFormat/>
    <w:uiPriority w:val="99"/>
    <w:rPr>
      <w:rFonts w:ascii="Times New Roman" w:hAnsi="Times New Roman"/>
    </w:rPr>
  </w:style>
  <w:style w:type="character" w:customStyle="1" w:styleId="69">
    <w:name w:val="16"/>
    <w:qFormat/>
    <w:uiPriority w:val="99"/>
    <w:rPr>
      <w:rFonts w:ascii="Times New Roman" w:hAnsi="Times New Roman"/>
    </w:rPr>
  </w:style>
  <w:style w:type="paragraph" w:customStyle="1" w:styleId="70">
    <w:name w:val="列出段落1"/>
    <w:basedOn w:val="1"/>
    <w:qFormat/>
    <w:uiPriority w:val="99"/>
    <w:pPr>
      <w:ind w:firstLine="420" w:firstLineChars="200"/>
    </w:pPr>
    <w:rPr>
      <w:rFonts w:ascii="Times New Roman" w:hAnsi="Times New Roman" w:eastAsia="宋体" w:cs="Times New Roman"/>
      <w:szCs w:val="21"/>
    </w:rPr>
  </w:style>
  <w:style w:type="character" w:customStyle="1" w:styleId="71">
    <w:name w:val="tpc_content1"/>
    <w:qFormat/>
    <w:uiPriority w:val="99"/>
    <w:rPr>
      <w:sz w:val="13"/>
    </w:rPr>
  </w:style>
  <w:style w:type="paragraph" w:styleId="72">
    <w:name w:val="List Paragraph"/>
    <w:basedOn w:val="1"/>
    <w:qFormat/>
    <w:uiPriority w:val="99"/>
    <w:pPr>
      <w:ind w:firstLine="420" w:firstLineChars="200"/>
    </w:pPr>
    <w:rPr>
      <w:rFonts w:ascii="Times New Roman" w:hAnsi="Times New Roman" w:eastAsia="宋体" w:cs="Times New Roman"/>
      <w:szCs w:val="21"/>
    </w:rPr>
  </w:style>
  <w:style w:type="paragraph" w:customStyle="1" w:styleId="73">
    <w:name w:val="Table Paragraph"/>
    <w:basedOn w:val="1"/>
    <w:qFormat/>
    <w:uiPriority w:val="0"/>
    <w:pPr>
      <w:jc w:val="left"/>
    </w:pPr>
    <w:rPr>
      <w:rFonts w:ascii="Calibri" w:hAnsi="Calibri" w:eastAsia="宋体" w:cs="Times New Roman"/>
      <w:kern w:val="0"/>
      <w:sz w:val="22"/>
    </w:rPr>
  </w:style>
  <w:style w:type="character" w:customStyle="1" w:styleId="74">
    <w:name w:val="结束语 Char"/>
    <w:basedOn w:val="27"/>
    <w:link w:val="10"/>
    <w:qFormat/>
    <w:uiPriority w:val="0"/>
    <w:rPr>
      <w:rFonts w:ascii="Calibri" w:hAnsi="Calibri" w:eastAsia="等线" w:cs="Times New Roman"/>
    </w:rPr>
  </w:style>
  <w:style w:type="character" w:customStyle="1" w:styleId="75">
    <w:name w:val="结束语 字符"/>
    <w:semiHidden/>
    <w:qFormat/>
    <w:uiPriority w:val="99"/>
    <w:rPr>
      <w:kern w:val="2"/>
      <w:sz w:val="21"/>
      <w:szCs w:val="21"/>
    </w:rPr>
  </w:style>
  <w:style w:type="character" w:customStyle="1" w:styleId="76">
    <w:name w:val="正文文本 Char"/>
    <w:basedOn w:val="27"/>
    <w:link w:val="2"/>
    <w:qFormat/>
    <w:uiPriority w:val="0"/>
    <w:rPr>
      <w:rFonts w:ascii="等线" w:hAnsi="等线" w:eastAsia="等线" w:cs="Times New Roman"/>
      <w:szCs w:val="24"/>
    </w:rPr>
  </w:style>
  <w:style w:type="character" w:customStyle="1" w:styleId="77">
    <w:name w:val="正文文本 字符"/>
    <w:semiHidden/>
    <w:qFormat/>
    <w:uiPriority w:val="99"/>
    <w:rPr>
      <w:kern w:val="2"/>
      <w:sz w:val="21"/>
      <w:szCs w:val="21"/>
    </w:rPr>
  </w:style>
  <w:style w:type="character" w:customStyle="1" w:styleId="78">
    <w:name w:val="正文文本缩进 2 Char"/>
    <w:basedOn w:val="27"/>
    <w:link w:val="15"/>
    <w:qFormat/>
    <w:uiPriority w:val="0"/>
    <w:rPr>
      <w:rFonts w:ascii="等线" w:hAnsi="等线" w:eastAsia="等线" w:cs="Times New Roman"/>
      <w:szCs w:val="24"/>
    </w:rPr>
  </w:style>
  <w:style w:type="character" w:customStyle="1" w:styleId="79">
    <w:name w:val="正文文本缩进 2 字符"/>
    <w:semiHidden/>
    <w:qFormat/>
    <w:uiPriority w:val="99"/>
    <w:rPr>
      <w:kern w:val="2"/>
      <w:sz w:val="21"/>
      <w:szCs w:val="21"/>
    </w:rPr>
  </w:style>
  <w:style w:type="character" w:customStyle="1" w:styleId="80">
    <w:name w:val="正文文本缩进 3 Char"/>
    <w:basedOn w:val="27"/>
    <w:link w:val="20"/>
    <w:qFormat/>
    <w:uiPriority w:val="0"/>
    <w:rPr>
      <w:rFonts w:ascii="Calibri" w:hAnsi="Calibri" w:eastAsia="宋体" w:cs="Times New Roman"/>
      <w:sz w:val="16"/>
      <w:szCs w:val="24"/>
    </w:rPr>
  </w:style>
  <w:style w:type="character" w:customStyle="1" w:styleId="81">
    <w:name w:val="正文首行缩进 Char"/>
    <w:basedOn w:val="76"/>
    <w:link w:val="24"/>
    <w:qFormat/>
    <w:uiPriority w:val="0"/>
  </w:style>
  <w:style w:type="paragraph" w:customStyle="1" w:styleId="82">
    <w:name w:val="正文 1.1.1"/>
    <w:basedOn w:val="1"/>
    <w:next w:val="1"/>
    <w:qFormat/>
    <w:uiPriority w:val="0"/>
    <w:pPr>
      <w:numPr>
        <w:ilvl w:val="0"/>
        <w:numId w:val="1"/>
      </w:numPr>
      <w:tabs>
        <w:tab w:val="left" w:pos="851"/>
      </w:tabs>
      <w:outlineLvl w:val="2"/>
    </w:pPr>
    <w:rPr>
      <w:rFonts w:ascii="Times New Roman" w:hAnsi="宋体" w:eastAsia="宋体" w:cs="Times New Roman"/>
      <w:color w:val="FF0000"/>
      <w:szCs w:val="24"/>
    </w:rPr>
  </w:style>
  <w:style w:type="paragraph" w:customStyle="1" w:styleId="83">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4">
    <w:name w:val="Char Char Char Char"/>
    <w:basedOn w:val="1"/>
    <w:qFormat/>
    <w:uiPriority w:val="0"/>
    <w:pPr>
      <w:tabs>
        <w:tab w:val="left" w:pos="360"/>
      </w:tabs>
      <w:ind w:firstLine="420" w:firstLineChars="150"/>
    </w:pPr>
    <w:rPr>
      <w:rFonts w:ascii="Arial" w:hAnsi="Arial" w:eastAsia="宋体" w:cs="Arial"/>
      <w:sz w:val="20"/>
      <w:szCs w:val="20"/>
    </w:rPr>
  </w:style>
  <w:style w:type="paragraph" w:customStyle="1" w:styleId="85">
    <w:name w:val="_Style 4"/>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1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87">
    <w:name w:val="正文1"/>
    <w:qFormat/>
    <w:uiPriority w:val="0"/>
    <w:rPr>
      <w:rFonts w:ascii="Times New Roman" w:hAnsi="Times New Roman" w:eastAsia="Times New Roman" w:cs="Times New Roman"/>
      <w:kern w:val="0"/>
      <w:sz w:val="24"/>
      <w:szCs w:val="24"/>
      <w:lang w:val="en-US" w:eastAsia="zh-CN" w:bidi="ar-SA"/>
    </w:rPr>
  </w:style>
  <w:style w:type="paragraph" w:customStyle="1" w:styleId="88">
    <w:name w:val="默认段落字体 Para Char Char Char Char Char Char Char Char Char1 Char Char Char Char Char Char Char Char"/>
    <w:basedOn w:val="7"/>
    <w:qFormat/>
    <w:uiPriority w:val="0"/>
    <w:pPr>
      <w:shd w:val="clear" w:color="auto" w:fill="000080"/>
    </w:pPr>
    <w:rPr>
      <w:rFonts w:ascii="等线" w:hAnsi="等线" w:eastAsia="等线"/>
      <w:kern w:val="2"/>
      <w:sz w:val="21"/>
      <w:szCs w:val="24"/>
    </w:rPr>
  </w:style>
  <w:style w:type="paragraph" w:customStyle="1" w:styleId="89">
    <w:name w:val="Normal_0"/>
    <w:qFormat/>
    <w:uiPriority w:val="0"/>
    <w:rPr>
      <w:rFonts w:ascii="Times New Roman" w:hAnsi="Times New Roman" w:eastAsia="Times New Roman" w:cs="Times New Roman"/>
      <w:kern w:val="0"/>
      <w:sz w:val="24"/>
      <w:szCs w:val="24"/>
      <w:lang w:val="en-US" w:eastAsia="zh-CN" w:bidi="ar-SA"/>
    </w:rPr>
  </w:style>
  <w:style w:type="paragraph" w:customStyle="1" w:styleId="90">
    <w:name w:val="Char Char Char Char Char Char Char1 Char Char Char Char Char Char Char"/>
    <w:basedOn w:val="1"/>
    <w:qFormat/>
    <w:uiPriority w:val="0"/>
    <w:rPr>
      <w:rFonts w:ascii="Tahoma" w:hAnsi="Tahoma" w:eastAsia="宋体" w:cs="Times New Roman"/>
      <w:sz w:val="24"/>
      <w:szCs w:val="20"/>
    </w:rPr>
  </w:style>
  <w:style w:type="paragraph" w:customStyle="1" w:styleId="91">
    <w:name w:val="Char Char Char"/>
    <w:basedOn w:val="1"/>
    <w:qFormat/>
    <w:uiPriority w:val="0"/>
    <w:rPr>
      <w:rFonts w:ascii="Tahoma" w:hAnsi="Tahoma" w:eastAsia="宋体" w:cs="Times New Roman"/>
      <w:sz w:val="24"/>
      <w:szCs w:val="20"/>
    </w:rPr>
  </w:style>
  <w:style w:type="paragraph" w:customStyle="1" w:styleId="92">
    <w:name w:val="目录"/>
    <w:basedOn w:val="1"/>
    <w:qFormat/>
    <w:uiPriority w:val="0"/>
    <w:pPr>
      <w:widowControl/>
      <w:jc w:val="center"/>
    </w:pPr>
    <w:rPr>
      <w:rFonts w:ascii="宋体" w:hAnsi="Times New Roman" w:eastAsia="宋体" w:cs="Times New Roman"/>
      <w:b/>
      <w:kern w:val="0"/>
      <w:sz w:val="36"/>
      <w:szCs w:val="24"/>
    </w:rPr>
  </w:style>
  <w:style w:type="paragraph" w:customStyle="1" w:styleId="93">
    <w:name w:val="正文_3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94">
    <w:name w:val="正文空2格  1."/>
    <w:basedOn w:val="1"/>
    <w:qFormat/>
    <w:uiPriority w:val="0"/>
    <w:pPr>
      <w:ind w:firstLine="480" w:firstLineChars="200"/>
    </w:pPr>
    <w:rPr>
      <w:rFonts w:ascii="Times New Roman" w:hAnsi="Times New Roman" w:eastAsia="宋体" w:cs="宋体"/>
      <w:sz w:val="28"/>
      <w:szCs w:val="20"/>
    </w:rPr>
  </w:style>
  <w:style w:type="paragraph" w:customStyle="1" w:styleId="95">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96">
    <w:name w:val="样式2"/>
    <w:basedOn w:val="1"/>
    <w:link w:val="102"/>
    <w:qFormat/>
    <w:uiPriority w:val="0"/>
    <w:pPr>
      <w:spacing w:line="600" w:lineRule="exact"/>
    </w:pPr>
    <w:rPr>
      <w:rFonts w:ascii="仿宋_GB2312" w:hAnsi="宋体" w:eastAsia="仿宋_GB2312" w:cs="Times New Roman"/>
      <w:b/>
      <w:sz w:val="32"/>
      <w:szCs w:val="32"/>
    </w:rPr>
  </w:style>
  <w:style w:type="paragraph" w:customStyle="1" w:styleId="97">
    <w:name w:val="_Style 55"/>
    <w:hidden/>
    <w:unhideWhenUsed/>
    <w:qFormat/>
    <w:uiPriority w:val="99"/>
    <w:rPr>
      <w:rFonts w:ascii="Times New Roman" w:hAnsi="Times New Roman" w:eastAsia="宋体" w:cs="Times New Roman"/>
      <w:kern w:val="2"/>
      <w:sz w:val="21"/>
      <w:szCs w:val="24"/>
      <w:lang w:val="en-US" w:eastAsia="zh-CN" w:bidi="ar-SA"/>
    </w:rPr>
  </w:style>
  <w:style w:type="character" w:customStyle="1" w:styleId="98">
    <w:name w:val="日期 字符1"/>
    <w:qFormat/>
    <w:uiPriority w:val="0"/>
    <w:rPr>
      <w:rFonts w:ascii="黑体" w:hAnsi="宋体" w:eastAsia="黑体"/>
      <w:b/>
      <w:bCs/>
      <w:color w:val="000000"/>
      <w:sz w:val="44"/>
      <w:szCs w:val="36"/>
    </w:rPr>
  </w:style>
  <w:style w:type="character" w:customStyle="1" w:styleId="99">
    <w:name w:val="正文文本缩进 字符1"/>
    <w:qFormat/>
    <w:uiPriority w:val="0"/>
    <w:rPr>
      <w:rFonts w:ascii="仿宋_GB2312" w:eastAsia="仿宋_GB2312"/>
      <w:sz w:val="24"/>
      <w:szCs w:val="21"/>
    </w:rPr>
  </w:style>
  <w:style w:type="character" w:customStyle="1" w:styleId="100">
    <w:name w:val="纯文本字符"/>
    <w:qFormat/>
    <w:uiPriority w:val="0"/>
    <w:rPr>
      <w:rFonts w:ascii="宋体" w:hAnsi="Courier New" w:eastAsia="仿宋_GB2312" w:cs="Courier New"/>
      <w:kern w:val="2"/>
      <w:sz w:val="32"/>
      <w:szCs w:val="21"/>
    </w:rPr>
  </w:style>
  <w:style w:type="character" w:customStyle="1" w:styleId="101">
    <w:name w:val="页脚 字符1"/>
    <w:qFormat/>
    <w:uiPriority w:val="0"/>
    <w:rPr>
      <w:sz w:val="18"/>
      <w:szCs w:val="24"/>
    </w:rPr>
  </w:style>
  <w:style w:type="character" w:customStyle="1" w:styleId="102">
    <w:name w:val="样式2 Char Char"/>
    <w:link w:val="96"/>
    <w:qFormat/>
    <w:uiPriority w:val="0"/>
    <w:rPr>
      <w:rFonts w:ascii="仿宋_GB2312" w:hAnsi="宋体" w:eastAsia="仿宋_GB2312" w:cs="Times New Roman"/>
      <w:b/>
      <w:sz w:val="32"/>
      <w:szCs w:val="32"/>
    </w:rPr>
  </w:style>
  <w:style w:type="character" w:customStyle="1" w:styleId="103">
    <w:name w:val="标题 1 字符1"/>
    <w:qFormat/>
    <w:uiPriority w:val="0"/>
    <w:rPr>
      <w:rFonts w:ascii="Times New Roman" w:hAnsi="Times New Roman" w:eastAsia="宋体" w:cs="Times New Roman"/>
      <w:b/>
      <w:bCs/>
      <w:kern w:val="44"/>
      <w:sz w:val="44"/>
      <w:szCs w:val="44"/>
    </w:rPr>
  </w:style>
  <w:style w:type="character" w:customStyle="1" w:styleId="104">
    <w:name w:val="页眉 字符1"/>
    <w:qFormat/>
    <w:uiPriority w:val="99"/>
    <w:rPr>
      <w:sz w:val="18"/>
      <w:szCs w:val="24"/>
    </w:rPr>
  </w:style>
  <w:style w:type="character" w:customStyle="1" w:styleId="105">
    <w:name w:val="页眉 Char1"/>
    <w:semiHidden/>
    <w:qFormat/>
    <w:uiPriority w:val="99"/>
    <w:rPr>
      <w:kern w:val="2"/>
      <w:sz w:val="18"/>
      <w:szCs w:val="18"/>
    </w:rPr>
  </w:style>
  <w:style w:type="character" w:customStyle="1" w:styleId="106">
    <w:name w:val="标题 3 字符1"/>
    <w:qFormat/>
    <w:uiPriority w:val="0"/>
    <w:rPr>
      <w:rFonts w:ascii="Times New Roman" w:hAnsi="Times New Roman" w:eastAsia="宋体" w:cs="Times New Roman"/>
      <w:b/>
      <w:bCs/>
      <w:sz w:val="32"/>
      <w:szCs w:val="32"/>
    </w:rPr>
  </w:style>
  <w:style w:type="character" w:customStyle="1" w:styleId="107">
    <w:name w:val="文档结构图 字符1"/>
    <w:semiHidden/>
    <w:qFormat/>
    <w:uiPriority w:val="0"/>
    <w:rPr>
      <w:szCs w:val="24"/>
      <w:shd w:val="clear" w:color="auto" w:fill="000080"/>
    </w:rPr>
  </w:style>
  <w:style w:type="character" w:customStyle="1" w:styleId="108">
    <w:name w:val="标题 2 字符1"/>
    <w:qFormat/>
    <w:uiPriority w:val="0"/>
    <w:rPr>
      <w:rFonts w:ascii="Arial" w:hAnsi="Arial" w:eastAsia="黑体" w:cs="Times New Roman"/>
      <w:b/>
      <w:bCs/>
      <w:sz w:val="32"/>
      <w:szCs w:val="32"/>
    </w:rPr>
  </w:style>
  <w:style w:type="character" w:customStyle="1" w:styleId="109">
    <w:name w:val="批注框文本 字符1"/>
    <w:semiHidden/>
    <w:qFormat/>
    <w:uiPriority w:val="0"/>
    <w:rPr>
      <w:sz w:val="18"/>
      <w:szCs w:val="18"/>
    </w:rPr>
  </w:style>
  <w:style w:type="character" w:customStyle="1" w:styleId="110">
    <w:name w:val="纯文本 字符1"/>
    <w:qFormat/>
    <w:uiPriority w:val="0"/>
    <w:rPr>
      <w:rFonts w:ascii="宋体" w:hAnsi="Courier New"/>
    </w:rPr>
  </w:style>
  <w:style w:type="character" w:customStyle="1" w:styleId="111">
    <w:name w:val="正文首行缩进 字符"/>
    <w:semiHidden/>
    <w:qFormat/>
    <w:uiPriority w:val="99"/>
  </w:style>
  <w:style w:type="character" w:customStyle="1" w:styleId="112">
    <w:name w:val="正文文本缩进 字符2"/>
    <w:semiHidden/>
    <w:qFormat/>
    <w:uiPriority w:val="99"/>
    <w:rPr>
      <w:rFonts w:ascii="Times New Roman" w:hAnsi="Times New Roman" w:eastAsia="宋体" w:cs="Times New Roman"/>
      <w:szCs w:val="24"/>
    </w:rPr>
  </w:style>
  <w:style w:type="character" w:customStyle="1" w:styleId="113">
    <w:name w:val="批注文字 字符1"/>
    <w:semiHidden/>
    <w:qFormat/>
    <w:uiPriority w:val="99"/>
    <w:rPr>
      <w:rFonts w:ascii="Times New Roman" w:hAnsi="Times New Roman" w:eastAsia="宋体" w:cs="Times New Roman"/>
      <w:szCs w:val="24"/>
    </w:rPr>
  </w:style>
  <w:style w:type="character" w:customStyle="1" w:styleId="114">
    <w:name w:val="正文文本 字符2"/>
    <w:semiHidden/>
    <w:qFormat/>
    <w:uiPriority w:val="99"/>
    <w:rPr>
      <w:rFonts w:ascii="Times New Roman" w:hAnsi="Times New Roman" w:eastAsia="宋体" w:cs="Times New Roman"/>
      <w:szCs w:val="24"/>
    </w:rPr>
  </w:style>
  <w:style w:type="character" w:customStyle="1" w:styleId="115">
    <w:name w:val="批注主题 字符1"/>
    <w:semiHidden/>
    <w:qFormat/>
    <w:uiPriority w:val="99"/>
    <w:rPr>
      <w:rFonts w:ascii="Times New Roman" w:hAnsi="Times New Roman" w:eastAsia="宋体" w:cs="Times New Roman"/>
      <w:b/>
      <w:bCs/>
      <w:szCs w:val="24"/>
    </w:rPr>
  </w:style>
  <w:style w:type="character" w:customStyle="1" w:styleId="116">
    <w:name w:val="结束语 字符2"/>
    <w:semiHidden/>
    <w:qFormat/>
    <w:uiPriority w:val="99"/>
    <w:rPr>
      <w:rFonts w:ascii="Times New Roman" w:hAnsi="Times New Roman" w:eastAsia="宋体" w:cs="Times New Roman"/>
      <w:szCs w:val="24"/>
    </w:rPr>
  </w:style>
  <w:style w:type="character" w:customStyle="1" w:styleId="117">
    <w:name w:val="页眉 字符2"/>
    <w:semiHidden/>
    <w:qFormat/>
    <w:uiPriority w:val="99"/>
    <w:rPr>
      <w:rFonts w:ascii="Times New Roman" w:hAnsi="Times New Roman" w:eastAsia="宋体" w:cs="Times New Roman"/>
      <w:sz w:val="18"/>
      <w:szCs w:val="18"/>
    </w:rPr>
  </w:style>
  <w:style w:type="character" w:customStyle="1" w:styleId="118">
    <w:name w:val="批注框文本 字符2"/>
    <w:semiHidden/>
    <w:qFormat/>
    <w:uiPriority w:val="99"/>
    <w:rPr>
      <w:rFonts w:ascii="Times New Roman" w:hAnsi="Times New Roman" w:eastAsia="宋体" w:cs="Times New Roman"/>
      <w:sz w:val="18"/>
      <w:szCs w:val="18"/>
    </w:rPr>
  </w:style>
  <w:style w:type="character" w:customStyle="1" w:styleId="119">
    <w:name w:val="日期 字符2"/>
    <w:semiHidden/>
    <w:qFormat/>
    <w:uiPriority w:val="99"/>
    <w:rPr>
      <w:rFonts w:ascii="Times New Roman" w:hAnsi="Times New Roman" w:eastAsia="宋体" w:cs="Times New Roman"/>
      <w:szCs w:val="24"/>
    </w:rPr>
  </w:style>
  <w:style w:type="character" w:customStyle="1" w:styleId="120">
    <w:name w:val="纯文本 字符2"/>
    <w:semiHidden/>
    <w:qFormat/>
    <w:uiPriority w:val="99"/>
    <w:rPr>
      <w:rFonts w:ascii="等线" w:hAnsi="Courier New" w:cs="Courier New"/>
      <w:szCs w:val="24"/>
    </w:rPr>
  </w:style>
  <w:style w:type="character" w:customStyle="1" w:styleId="121">
    <w:name w:val="文档结构图 字符2"/>
    <w:semiHidden/>
    <w:qFormat/>
    <w:uiPriority w:val="99"/>
    <w:rPr>
      <w:rFonts w:ascii="Microsoft YaHei UI" w:hAnsi="Times New Roman" w:eastAsia="Microsoft YaHei UI" w:cs="Times New Roman"/>
      <w:sz w:val="18"/>
      <w:szCs w:val="18"/>
    </w:rPr>
  </w:style>
  <w:style w:type="character" w:customStyle="1" w:styleId="122">
    <w:name w:val="正文文本缩进 2 字符2"/>
    <w:semiHidden/>
    <w:qFormat/>
    <w:uiPriority w:val="99"/>
    <w:rPr>
      <w:rFonts w:ascii="Times New Roman" w:hAnsi="Times New Roman" w:eastAsia="宋体" w:cs="Times New Roman"/>
      <w:szCs w:val="24"/>
    </w:rPr>
  </w:style>
  <w:style w:type="character" w:customStyle="1" w:styleId="123">
    <w:name w:val="正文首行缩进 字符2"/>
    <w:semiHidden/>
    <w:qFormat/>
    <w:uiPriority w:val="99"/>
  </w:style>
  <w:style w:type="character" w:customStyle="1" w:styleId="124">
    <w:name w:val="页脚 字符2"/>
    <w:semiHidden/>
    <w:qFormat/>
    <w:uiPriority w:val="99"/>
    <w:rPr>
      <w:rFonts w:ascii="Times New Roman" w:hAnsi="Times New Roman" w:eastAsia="宋体" w:cs="Times New Roman"/>
      <w:sz w:val="18"/>
      <w:szCs w:val="18"/>
    </w:rPr>
  </w:style>
  <w:style w:type="character" w:customStyle="1" w:styleId="125">
    <w:name w:val="正文文本缩进 3 字符1"/>
    <w:semiHidden/>
    <w:qFormat/>
    <w:uiPriority w:val="99"/>
    <w:rPr>
      <w:rFonts w:ascii="Times New Roman" w:hAnsi="Times New Roman" w:eastAsia="宋体" w:cs="Times New Roman"/>
      <w:sz w:val="16"/>
      <w:szCs w:val="16"/>
    </w:rPr>
  </w:style>
  <w:style w:type="table" w:customStyle="1" w:styleId="126">
    <w:name w:val="网格型1"/>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kshyvn"/>
    <w:basedOn w:val="27"/>
    <w:qFormat/>
    <w:uiPriority w:val="0"/>
    <w:rPr>
      <w:shd w:val="clear" w:fill="F5F5F6"/>
    </w:rPr>
  </w:style>
  <w:style w:type="character" w:customStyle="1" w:styleId="128">
    <w:name w:val="c-icon32"/>
    <w:basedOn w:val="27"/>
    <w:qFormat/>
    <w:uiPriority w:val="0"/>
  </w:style>
  <w:style w:type="character" w:customStyle="1" w:styleId="129">
    <w:name w:val="hover26"/>
    <w:basedOn w:val="27"/>
    <w:qFormat/>
    <w:uiPriority w:val="0"/>
  </w:style>
  <w:style w:type="character" w:customStyle="1" w:styleId="130">
    <w:name w:val="hover27"/>
    <w:basedOn w:val="27"/>
    <w:qFormat/>
    <w:uiPriority w:val="0"/>
    <w:rPr>
      <w:color w:val="315EFB"/>
    </w:rPr>
  </w:style>
  <w:style w:type="character" w:customStyle="1" w:styleId="131">
    <w:name w:val="geblxv"/>
    <w:basedOn w:val="27"/>
    <w:qFormat/>
    <w:uiPriority w:val="0"/>
  </w:style>
  <w:style w:type="character" w:customStyle="1" w:styleId="132">
    <w:name w:val="kshyvn2"/>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4240</Words>
  <Characters>24174</Characters>
  <Lines>201</Lines>
  <Paragraphs>56</Paragraphs>
  <TotalTime>24</TotalTime>
  <ScaleCrop>false</ScaleCrop>
  <LinksUpToDate>false</LinksUpToDate>
  <CharactersWithSpaces>28358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2020-05-27T06:52:00Z</dcterms:created>
  <dc:creator>刘峰</dc:creator>
  <cp:lastModifiedBy>热心市民夏女士</cp:lastModifiedBy>
  <cp:lastPrinted>2021-03-26T04:59:00Z</cp:lastPrinted>
  <dcterms:modified xsi:type="dcterms:W3CDTF">2021-04-09T07:35:47Z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136200C3655A405F860BE1EB4DD67A8F</vt:lpwstr>
  </property>
</Properties>
</file>