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000000"/>
          <w:sz w:val="28"/>
          <w:szCs w:val="28"/>
        </w:rPr>
      </w:pPr>
      <w:r>
        <w:rPr>
          <w:rFonts w:hint="eastAsia"/>
          <w:b/>
          <w:color w:val="000000"/>
          <w:sz w:val="28"/>
          <w:szCs w:val="28"/>
          <w:lang w:val="en-US"/>
        </w:rPr>
        <w:t>芜湖市中医医院一次性使用留置针采购</w:t>
      </w:r>
      <w:r>
        <w:rPr>
          <w:rFonts w:hint="eastAsia"/>
          <w:b/>
          <w:color w:val="000000"/>
          <w:sz w:val="28"/>
          <w:szCs w:val="28"/>
        </w:rPr>
        <w:t>采购需求说明</w:t>
      </w:r>
    </w:p>
    <w:p>
      <w:pPr>
        <w:spacing w:line="360" w:lineRule="auto"/>
        <w:rPr>
          <w:rFonts w:hint="eastAsia"/>
          <w:bCs/>
          <w:color w:val="000000"/>
          <w:sz w:val="28"/>
          <w:szCs w:val="28"/>
        </w:rPr>
      </w:pPr>
      <w:r>
        <w:rPr>
          <w:rFonts w:hint="eastAsia"/>
          <w:bCs/>
          <w:color w:val="000000"/>
          <w:sz w:val="28"/>
          <w:szCs w:val="28"/>
          <w:lang w:val="en-US"/>
        </w:rPr>
        <w:t>1</w:t>
      </w:r>
      <w:r>
        <w:rPr>
          <w:rFonts w:hint="eastAsia"/>
          <w:bCs/>
          <w:color w:val="000000"/>
          <w:sz w:val="28"/>
          <w:szCs w:val="28"/>
        </w:rPr>
        <w:t>、投标时需考虑到我院目前3.9%配送费，后续配送费执行医院配送合同约定费用。按需供货、按实结算。</w:t>
      </w:r>
    </w:p>
    <w:p>
      <w:pPr>
        <w:spacing w:line="360" w:lineRule="auto"/>
        <w:rPr>
          <w:rFonts w:hint="eastAsia"/>
          <w:bCs/>
          <w:color w:val="FF0000"/>
          <w:sz w:val="28"/>
          <w:szCs w:val="28"/>
          <w:highlight w:val="yellow"/>
        </w:rPr>
      </w:pPr>
      <w:r>
        <w:rPr>
          <w:rFonts w:hint="eastAsia"/>
          <w:bCs/>
          <w:color w:val="000000"/>
          <w:sz w:val="28"/>
          <w:szCs w:val="28"/>
        </w:rPr>
        <w:t>*</w:t>
      </w:r>
      <w:r>
        <w:rPr>
          <w:rFonts w:hint="eastAsia"/>
          <w:bCs/>
          <w:color w:val="000000"/>
          <w:sz w:val="28"/>
          <w:szCs w:val="28"/>
          <w:lang w:val="en-US"/>
        </w:rPr>
        <w:t>2</w:t>
      </w:r>
      <w:r>
        <w:rPr>
          <w:rFonts w:hint="eastAsia"/>
          <w:bCs/>
          <w:color w:val="000000"/>
          <w:sz w:val="28"/>
          <w:szCs w:val="28"/>
        </w:rPr>
        <w:t>、如遇政策性的带量采购、集中配送、两票制等政策变化，需要按照政策要求执行</w:t>
      </w:r>
      <w:r>
        <w:rPr>
          <w:rFonts w:hint="eastAsia"/>
          <w:bCs/>
          <w:color w:val="auto"/>
          <w:sz w:val="28"/>
          <w:szCs w:val="28"/>
          <w:highlight w:val="none"/>
        </w:rPr>
        <w:t>（</w:t>
      </w:r>
      <w:r>
        <w:rPr>
          <w:rFonts w:hint="eastAsia"/>
          <w:bCs/>
          <w:color w:val="auto"/>
          <w:sz w:val="28"/>
          <w:szCs w:val="28"/>
          <w:highlight w:val="none"/>
          <w:lang w:val="en-US"/>
        </w:rPr>
        <w:t>提供承诺函，格式自拟并加盖公章</w:t>
      </w:r>
      <w:r>
        <w:rPr>
          <w:rFonts w:hint="eastAsia"/>
          <w:bCs/>
          <w:color w:val="auto"/>
          <w:sz w:val="28"/>
          <w:szCs w:val="28"/>
          <w:highlight w:val="none"/>
        </w:rPr>
        <w:t>）。</w:t>
      </w:r>
    </w:p>
    <w:p>
      <w:pPr>
        <w:pStyle w:val="2"/>
        <w:ind w:left="0" w:leftChars="0" w:firstLine="0" w:firstLineChars="0"/>
        <w:rPr>
          <w:rFonts w:hint="eastAsia" w:ascii="宋体" w:hAnsi="宋体"/>
          <w:bCs/>
          <w:color w:val="000000"/>
          <w:sz w:val="28"/>
          <w:szCs w:val="28"/>
        </w:rPr>
      </w:pPr>
      <w:r>
        <w:rPr>
          <w:rFonts w:hint="eastAsia" w:ascii="宋体" w:hAnsi="宋体"/>
          <w:bCs/>
          <w:color w:val="000000"/>
          <w:sz w:val="28"/>
          <w:szCs w:val="28"/>
          <w:lang w:val="en-US" w:eastAsia="zh-CN"/>
        </w:rPr>
        <w:t xml:space="preserve">*3、投标产品须具有有效的医疗器械注册证（适用第二类和第三类医疗器械)。 </w:t>
      </w:r>
    </w:p>
    <w:p>
      <w:pPr>
        <w:pStyle w:val="2"/>
        <w:ind w:left="0" w:leftChars="0" w:firstLine="0" w:firstLineChars="0"/>
        <w:rPr>
          <w:rFonts w:hint="eastAsia" w:ascii="宋体" w:hAnsi="宋体"/>
          <w:bCs/>
          <w:color w:val="000000"/>
          <w:sz w:val="28"/>
          <w:szCs w:val="28"/>
        </w:rPr>
      </w:pPr>
      <w:r>
        <w:rPr>
          <w:rFonts w:hint="eastAsia" w:ascii="宋体" w:hAnsi="宋体"/>
          <w:bCs/>
          <w:color w:val="000000"/>
          <w:sz w:val="28"/>
          <w:szCs w:val="28"/>
          <w:lang w:val="en-US" w:eastAsia="zh-CN"/>
        </w:rPr>
        <w:t>*4、投标产品或其生产（或经营）纳入备案管理时，须在投标（响应）文件中提供备案证明材料或者承诺函。如投标（响应）文件中未提供备案证明材料，应提供承诺函，承诺在合同签订前具有相应的生产（或经营）、所投产品的备案证明材料。《免于经营备案的第二类医疗器械产品目录》中的产品可不提供备案证明材料或者承诺函”。</w:t>
      </w:r>
    </w:p>
    <w:p>
      <w:pPr>
        <w:pStyle w:val="7"/>
        <w:shd w:val="clear" w:color="auto" w:fill="FFFFFF"/>
        <w:spacing w:before="0" w:beforeAutospacing="0" w:after="0" w:afterAutospacing="0" w:line="240" w:lineRule="atLeast"/>
        <w:jc w:val="both"/>
        <w:rPr>
          <w:rFonts w:hint="default" w:ascii="宋体" w:hAnsi="宋体" w:eastAsia="宋体" w:cs="宋体"/>
          <w:bCs/>
          <w:color w:val="000000"/>
          <w:kern w:val="0"/>
          <w:sz w:val="28"/>
          <w:szCs w:val="28"/>
          <w:lang w:val="zh-CN" w:eastAsia="zh-CN" w:bidi="zh-CN"/>
        </w:rPr>
      </w:pPr>
      <w:r>
        <w:rPr>
          <w:rFonts w:hint="eastAsia" w:ascii="宋体" w:hAnsi="宋体" w:eastAsia="宋体" w:cs="宋体"/>
          <w:bCs/>
          <w:color w:val="000000"/>
          <w:kern w:val="0"/>
          <w:sz w:val="28"/>
          <w:szCs w:val="28"/>
          <w:lang w:val="en-US" w:eastAsia="zh-CN" w:bidi="zh-CN"/>
        </w:rPr>
        <w:t>*</w:t>
      </w:r>
      <w:r>
        <w:rPr>
          <w:rFonts w:hint="eastAsia" w:cs="宋体"/>
          <w:bCs/>
          <w:color w:val="000000"/>
          <w:kern w:val="0"/>
          <w:sz w:val="28"/>
          <w:szCs w:val="28"/>
          <w:lang w:val="en-US" w:eastAsia="zh-CN" w:bidi="zh-CN"/>
        </w:rPr>
        <w:t>5</w:t>
      </w:r>
      <w:r>
        <w:rPr>
          <w:rFonts w:hint="eastAsia" w:ascii="宋体" w:hAnsi="宋体" w:eastAsia="宋体" w:cs="宋体"/>
          <w:bCs/>
          <w:color w:val="000000"/>
          <w:kern w:val="0"/>
          <w:sz w:val="28"/>
          <w:szCs w:val="28"/>
          <w:lang w:val="en-US" w:eastAsia="zh-CN" w:bidi="zh-CN"/>
        </w:rPr>
        <w:t>、</w:t>
      </w:r>
      <w:r>
        <w:rPr>
          <w:rFonts w:hint="eastAsia" w:ascii="宋体" w:hAnsi="宋体" w:eastAsia="宋体" w:cs="宋体"/>
          <w:bCs/>
          <w:color w:val="000000"/>
          <w:kern w:val="0"/>
          <w:sz w:val="28"/>
          <w:szCs w:val="28"/>
          <w:lang w:val="zh-CN" w:eastAsia="zh-CN" w:bidi="zh-CN"/>
        </w:rPr>
        <w:t>投标产品不含有塑化剂(DEHP)，提供第三方检测报告。</w:t>
      </w:r>
    </w:p>
    <w:p>
      <w:pPr>
        <w:rPr>
          <w:rFonts w:hint="eastAsia"/>
        </w:rPr>
      </w:pPr>
    </w:p>
    <w:p>
      <w:pPr>
        <w:wordWrap w:val="0"/>
        <w:topLinePunct/>
        <w:autoSpaceDE/>
        <w:autoSpaceDN/>
        <w:adjustRightInd w:val="0"/>
        <w:snapToGrid w:val="0"/>
        <w:spacing w:line="360" w:lineRule="auto"/>
        <w:jc w:val="center"/>
        <w:outlineLvl w:val="2"/>
        <w:rPr>
          <w:rFonts w:hint="eastAsia"/>
          <w:b/>
          <w:snapToGrid w:val="0"/>
          <w:color w:val="000000"/>
          <w:sz w:val="28"/>
          <w:szCs w:val="28"/>
        </w:rPr>
      </w:pPr>
      <w:r>
        <w:rPr>
          <w:rFonts w:hint="eastAsia"/>
          <w:b/>
          <w:snapToGrid w:val="0"/>
          <w:color w:val="000000"/>
          <w:sz w:val="28"/>
          <w:szCs w:val="28"/>
        </w:rPr>
        <w:t>采购需求一览表</w:t>
      </w:r>
    </w:p>
    <w:tbl>
      <w:tblPr>
        <w:tblStyle w:val="8"/>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84"/>
        <w:gridCol w:w="5208"/>
        <w:gridCol w:w="828"/>
        <w:gridCol w:w="540"/>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640" w:type="dxa"/>
            <w:vMerge w:val="restart"/>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r>
              <w:rPr>
                <w:rFonts w:hint="eastAsia" w:ascii="Times New Roman" w:hAnsi="Times New Roman" w:eastAsia="仿宋"/>
                <w:sz w:val="24"/>
                <w:szCs w:val="24"/>
              </w:rPr>
              <w:t>序号</w:t>
            </w:r>
          </w:p>
        </w:tc>
        <w:tc>
          <w:tcPr>
            <w:tcW w:w="1284" w:type="dxa"/>
            <w:vMerge w:val="restart"/>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r>
              <w:rPr>
                <w:rFonts w:hint="eastAsia" w:ascii="Times New Roman" w:hAnsi="Times New Roman" w:eastAsia="仿宋"/>
                <w:sz w:val="24"/>
                <w:szCs w:val="24"/>
              </w:rPr>
              <w:t>名称</w:t>
            </w:r>
          </w:p>
        </w:tc>
        <w:tc>
          <w:tcPr>
            <w:tcW w:w="5208" w:type="dxa"/>
            <w:vMerge w:val="restart"/>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r>
              <w:rPr>
                <w:rFonts w:hint="eastAsia" w:ascii="Times New Roman" w:hAnsi="Times New Roman" w:eastAsia="仿宋"/>
                <w:sz w:val="24"/>
                <w:szCs w:val="24"/>
              </w:rPr>
              <w:t>技术参数和规格型号</w:t>
            </w:r>
          </w:p>
        </w:tc>
        <w:tc>
          <w:tcPr>
            <w:tcW w:w="828" w:type="dxa"/>
            <w:vMerge w:val="restart"/>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r>
              <w:rPr>
                <w:rFonts w:hint="eastAsia" w:ascii="Times New Roman" w:hAnsi="Times New Roman" w:eastAsia="仿宋"/>
                <w:sz w:val="24"/>
                <w:szCs w:val="24"/>
              </w:rPr>
              <w:t>数量</w:t>
            </w:r>
          </w:p>
        </w:tc>
        <w:tc>
          <w:tcPr>
            <w:tcW w:w="540" w:type="dxa"/>
            <w:vMerge w:val="restart"/>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r>
              <w:rPr>
                <w:rFonts w:hint="eastAsia" w:ascii="Times New Roman" w:hAnsi="Times New Roman" w:eastAsia="仿宋"/>
                <w:sz w:val="24"/>
                <w:szCs w:val="24"/>
              </w:rPr>
              <w:t>单位</w:t>
            </w:r>
          </w:p>
        </w:tc>
        <w:tc>
          <w:tcPr>
            <w:tcW w:w="556" w:type="dxa"/>
            <w:vMerge w:val="restart"/>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r>
              <w:rPr>
                <w:rFonts w:hint="eastAsia" w:ascii="Times New Roman" w:hAnsi="Times New Roman"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0" w:type="dxa"/>
            <w:vMerge w:val="continue"/>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p>
        </w:tc>
        <w:tc>
          <w:tcPr>
            <w:tcW w:w="1284" w:type="dxa"/>
            <w:vMerge w:val="continue"/>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p>
        </w:tc>
        <w:tc>
          <w:tcPr>
            <w:tcW w:w="5208" w:type="dxa"/>
            <w:vMerge w:val="continue"/>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p>
        </w:tc>
        <w:tc>
          <w:tcPr>
            <w:tcW w:w="828" w:type="dxa"/>
            <w:vMerge w:val="continue"/>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p>
        </w:tc>
        <w:tc>
          <w:tcPr>
            <w:tcW w:w="540" w:type="dxa"/>
            <w:vMerge w:val="continue"/>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p>
        </w:tc>
        <w:tc>
          <w:tcPr>
            <w:tcW w:w="556" w:type="dxa"/>
            <w:vMerge w:val="continue"/>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lang w:val="en-US"/>
              </w:rPr>
            </w:pPr>
            <w:r>
              <w:rPr>
                <w:rFonts w:hint="eastAsia" w:ascii="Times New Roman" w:hAnsi="Times New Roman" w:eastAsia="仿宋"/>
                <w:sz w:val="24"/>
                <w:szCs w:val="24"/>
                <w:lang w:val="en-US"/>
              </w:rPr>
              <w:t>1</w:t>
            </w:r>
          </w:p>
        </w:tc>
        <w:tc>
          <w:tcPr>
            <w:tcW w:w="1284" w:type="dxa"/>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r>
              <w:rPr>
                <w:rFonts w:hint="eastAsia" w:ascii="Times New Roman" w:hAnsi="Times New Roman" w:eastAsia="仿宋"/>
                <w:sz w:val="24"/>
                <w:szCs w:val="24"/>
                <w:lang w:val="en-US"/>
              </w:rPr>
              <w:t>普通型</w:t>
            </w:r>
            <w:r>
              <w:rPr>
                <w:rFonts w:hint="eastAsia" w:ascii="Times New Roman" w:hAnsi="Times New Roman" w:eastAsia="仿宋"/>
                <w:sz w:val="24"/>
                <w:szCs w:val="24"/>
              </w:rPr>
              <w:t>一次性使用静脉留置针</w:t>
            </w:r>
          </w:p>
        </w:tc>
        <w:tc>
          <w:tcPr>
            <w:tcW w:w="5208" w:type="dxa"/>
            <w:noWrap w:val="0"/>
            <w:vAlign w:val="center"/>
          </w:tcPr>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ascii="Times New Roman" w:hAnsi="Times New Roman" w:eastAsia="仿宋"/>
                <w:szCs w:val="24"/>
              </w:rPr>
              <w:t>1、直型、Y型，满足临床各种输液要求；型号：18 G、20 G、22 G、24 G、26 G 。</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2</w:t>
            </w:r>
            <w:r>
              <w:rPr>
                <w:rFonts w:ascii="Times New Roman" w:hAnsi="Times New Roman" w:eastAsia="仿宋"/>
                <w:szCs w:val="24"/>
              </w:rPr>
              <w:t>、置入人体的导管材料表面光滑、柔软、弹性好、穿刺阻力小，且不易打折。</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3</w:t>
            </w:r>
            <w:r>
              <w:rPr>
                <w:rFonts w:ascii="Times New Roman" w:hAnsi="Times New Roman" w:eastAsia="仿宋"/>
                <w:szCs w:val="24"/>
              </w:rPr>
              <w:t>、导管材质对药物无吸附性，具有生物惰性，相容性好，降低输液外渗发生率，减少并发症。</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4</w:t>
            </w:r>
            <w:r>
              <w:rPr>
                <w:rFonts w:ascii="Times New Roman" w:hAnsi="Times New Roman" w:eastAsia="仿宋"/>
                <w:szCs w:val="24"/>
              </w:rPr>
              <w:t>、该产品供插入人体外周静脉血管系统输液用，留置时间不大于72 小时；</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5</w:t>
            </w:r>
            <w:r>
              <w:rPr>
                <w:rFonts w:ascii="Times New Roman" w:hAnsi="Times New Roman" w:eastAsia="仿宋"/>
                <w:szCs w:val="24"/>
              </w:rPr>
              <w:t>、钢针针尖锋利，无毛刺，具有良好的刚性和韧性。</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6</w:t>
            </w:r>
            <w:r>
              <w:rPr>
                <w:rFonts w:ascii="Times New Roman" w:hAnsi="Times New Roman" w:eastAsia="仿宋"/>
                <w:szCs w:val="24"/>
              </w:rPr>
              <w:t>、导管在 X 射线下能显影，在导管发生意外断管时，能通过X照射清楚定位。</w:t>
            </w:r>
          </w:p>
          <w:p>
            <w:pPr>
              <w:wordWrap w:val="0"/>
              <w:topLinePunct/>
              <w:autoSpaceDE/>
              <w:autoSpaceDN/>
              <w:adjustRightInd w:val="0"/>
              <w:snapToGrid w:val="0"/>
              <w:spacing w:line="360" w:lineRule="auto"/>
              <w:jc w:val="both"/>
              <w:rPr>
                <w:rFonts w:hint="eastAsia" w:ascii="Times New Roman" w:hAnsi="Times New Roman" w:eastAsia="仿宋"/>
                <w:sz w:val="24"/>
                <w:szCs w:val="24"/>
                <w:lang w:val="en-US"/>
              </w:rPr>
            </w:pPr>
            <w:r>
              <w:rPr>
                <w:rFonts w:hint="eastAsia" w:ascii="Times New Roman" w:hAnsi="Times New Roman" w:eastAsia="仿宋"/>
                <w:sz w:val="24"/>
                <w:szCs w:val="24"/>
                <w:lang w:val="en-US" w:eastAsia="zh-CN"/>
              </w:rPr>
              <w:t>7</w:t>
            </w:r>
            <w:r>
              <w:rPr>
                <w:rFonts w:hint="eastAsia" w:ascii="Times New Roman" w:hAnsi="Times New Roman" w:eastAsia="仿宋"/>
                <w:sz w:val="24"/>
                <w:szCs w:val="24"/>
              </w:rPr>
              <w:t>、提供操作培训。</w:t>
            </w:r>
          </w:p>
        </w:tc>
        <w:tc>
          <w:tcPr>
            <w:tcW w:w="828" w:type="dxa"/>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r>
              <w:rPr>
                <w:rFonts w:hint="eastAsia" w:ascii="Times New Roman" w:hAnsi="Times New Roman" w:eastAsia="仿宋"/>
                <w:sz w:val="24"/>
                <w:szCs w:val="24"/>
              </w:rPr>
              <w:t>64000</w:t>
            </w:r>
          </w:p>
        </w:tc>
        <w:tc>
          <w:tcPr>
            <w:tcW w:w="540" w:type="dxa"/>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lang w:val="en-US"/>
              </w:rPr>
            </w:pPr>
            <w:r>
              <w:rPr>
                <w:rFonts w:hint="eastAsia" w:ascii="Times New Roman" w:hAnsi="Times New Roman" w:eastAsia="仿宋"/>
                <w:sz w:val="24"/>
                <w:szCs w:val="24"/>
                <w:lang w:val="en-US"/>
              </w:rPr>
              <w:t>支</w:t>
            </w:r>
          </w:p>
        </w:tc>
        <w:tc>
          <w:tcPr>
            <w:tcW w:w="556" w:type="dxa"/>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lang w:val="en-US"/>
              </w:rPr>
            </w:pPr>
            <w:r>
              <w:rPr>
                <w:rFonts w:hint="eastAsia" w:ascii="Times New Roman" w:hAnsi="Times New Roman" w:eastAsia="仿宋"/>
                <w:sz w:val="24"/>
                <w:szCs w:val="24"/>
                <w:lang w:val="en-US"/>
              </w:rPr>
              <w:t>2</w:t>
            </w:r>
          </w:p>
        </w:tc>
        <w:tc>
          <w:tcPr>
            <w:tcW w:w="1284" w:type="dxa"/>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r>
              <w:rPr>
                <w:rFonts w:hint="eastAsia" w:ascii="Times New Roman" w:hAnsi="Times New Roman" w:eastAsia="仿宋"/>
                <w:sz w:val="24"/>
                <w:szCs w:val="24"/>
                <w:lang w:val="en-US"/>
              </w:rPr>
              <w:t>正压型</w:t>
            </w:r>
            <w:r>
              <w:rPr>
                <w:rFonts w:hint="eastAsia" w:ascii="Times New Roman" w:hAnsi="Times New Roman" w:eastAsia="仿宋"/>
                <w:sz w:val="24"/>
                <w:szCs w:val="24"/>
              </w:rPr>
              <w:t>一次性使用静脉留置针</w:t>
            </w:r>
          </w:p>
        </w:tc>
        <w:tc>
          <w:tcPr>
            <w:tcW w:w="5208" w:type="dxa"/>
            <w:noWrap w:val="0"/>
            <w:vAlign w:val="center"/>
          </w:tcPr>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ascii="Times New Roman" w:hAnsi="Times New Roman" w:eastAsia="仿宋"/>
                <w:szCs w:val="24"/>
              </w:rPr>
              <w:t>1、直型、Y型，满足临床各种输液要求；型号：18 G、20 G、22 G、24 G、26 G 。</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2</w:t>
            </w:r>
            <w:r>
              <w:rPr>
                <w:rFonts w:ascii="Times New Roman" w:hAnsi="Times New Roman" w:eastAsia="仿宋"/>
                <w:szCs w:val="24"/>
              </w:rPr>
              <w:t>、置入人体的导管材料表面光滑、柔软、弹性好、穿刺阻力小，且不易打折。</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3</w:t>
            </w:r>
            <w:r>
              <w:rPr>
                <w:rFonts w:ascii="Times New Roman" w:hAnsi="Times New Roman" w:eastAsia="仿宋"/>
                <w:szCs w:val="24"/>
              </w:rPr>
              <w:t>、导管材质对药物无吸附性，具有生物惰性，相容性好，降低输液外渗发生率，减少并发症。</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4</w:t>
            </w:r>
            <w:r>
              <w:rPr>
                <w:rFonts w:ascii="Times New Roman" w:hAnsi="Times New Roman" w:eastAsia="仿宋"/>
                <w:szCs w:val="24"/>
              </w:rPr>
              <w:t>、该产品供插入人体外周静脉血管系统输液用，留置时间不大于72 小时；</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5</w:t>
            </w:r>
            <w:r>
              <w:rPr>
                <w:rFonts w:ascii="Times New Roman" w:hAnsi="Times New Roman" w:eastAsia="仿宋"/>
                <w:szCs w:val="24"/>
              </w:rPr>
              <w:t>、钢针针尖锋利，无毛刺，具有良好的刚性和韧性。</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6</w:t>
            </w:r>
            <w:r>
              <w:rPr>
                <w:rFonts w:ascii="Times New Roman" w:hAnsi="Times New Roman" w:eastAsia="仿宋"/>
                <w:szCs w:val="24"/>
              </w:rPr>
              <w:t>、导管在 X 射线下能显影，在导管发生意外断管时，能通过X照射清楚定位。</w:t>
            </w:r>
          </w:p>
          <w:p>
            <w:pPr>
              <w:wordWrap w:val="0"/>
              <w:topLinePunct/>
              <w:autoSpaceDE/>
              <w:autoSpaceDN/>
              <w:adjustRightInd w:val="0"/>
              <w:snapToGrid w:val="0"/>
              <w:spacing w:line="360" w:lineRule="auto"/>
              <w:jc w:val="both"/>
              <w:rPr>
                <w:rFonts w:hint="eastAsia" w:ascii="Times New Roman" w:hAnsi="Times New Roman" w:eastAsia="仿宋"/>
                <w:sz w:val="24"/>
                <w:szCs w:val="24"/>
              </w:rPr>
            </w:pPr>
            <w:r>
              <w:rPr>
                <w:rFonts w:hint="eastAsia" w:ascii="Times New Roman" w:hAnsi="Times New Roman" w:eastAsia="仿宋"/>
                <w:sz w:val="24"/>
                <w:szCs w:val="24"/>
                <w:lang w:val="en-US" w:eastAsia="zh-CN"/>
              </w:rPr>
              <w:t>7</w:t>
            </w:r>
            <w:r>
              <w:rPr>
                <w:rFonts w:hint="eastAsia" w:ascii="Times New Roman" w:hAnsi="Times New Roman" w:eastAsia="仿宋"/>
                <w:sz w:val="24"/>
                <w:szCs w:val="24"/>
              </w:rPr>
              <w:t>、提供操作培训。</w:t>
            </w:r>
          </w:p>
        </w:tc>
        <w:tc>
          <w:tcPr>
            <w:tcW w:w="828" w:type="dxa"/>
            <w:noWrap w:val="0"/>
            <w:vAlign w:val="center"/>
          </w:tcPr>
          <w:p>
            <w:pPr>
              <w:wordWrap w:val="0"/>
              <w:topLinePunct/>
              <w:autoSpaceDE/>
              <w:autoSpaceDN/>
              <w:adjustRightInd w:val="0"/>
              <w:snapToGrid w:val="0"/>
              <w:spacing w:line="360" w:lineRule="auto"/>
              <w:jc w:val="center"/>
              <w:rPr>
                <w:rFonts w:ascii="Times New Roman" w:hAnsi="Times New Roman" w:eastAsia="仿宋"/>
                <w:sz w:val="24"/>
                <w:szCs w:val="24"/>
                <w:lang w:val="en-US"/>
              </w:rPr>
            </w:pPr>
            <w:r>
              <w:rPr>
                <w:rFonts w:hint="eastAsia" w:ascii="Times New Roman" w:hAnsi="Times New Roman" w:eastAsia="仿宋"/>
                <w:sz w:val="24"/>
                <w:szCs w:val="24"/>
                <w:lang w:val="en-US"/>
              </w:rPr>
              <w:t>33000</w:t>
            </w:r>
          </w:p>
        </w:tc>
        <w:tc>
          <w:tcPr>
            <w:tcW w:w="540" w:type="dxa"/>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lang w:val="en-US"/>
              </w:rPr>
            </w:pPr>
            <w:r>
              <w:rPr>
                <w:rFonts w:hint="eastAsia" w:ascii="Times New Roman" w:hAnsi="Times New Roman" w:eastAsia="仿宋"/>
                <w:sz w:val="24"/>
                <w:szCs w:val="24"/>
                <w:lang w:val="en-US"/>
              </w:rPr>
              <w:t>支</w:t>
            </w:r>
          </w:p>
        </w:tc>
        <w:tc>
          <w:tcPr>
            <w:tcW w:w="556" w:type="dxa"/>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lang w:val="en-US"/>
              </w:rPr>
            </w:pPr>
            <w:r>
              <w:rPr>
                <w:rFonts w:hint="eastAsia" w:ascii="Times New Roman" w:hAnsi="Times New Roman" w:eastAsia="仿宋"/>
                <w:sz w:val="24"/>
                <w:szCs w:val="24"/>
                <w:lang w:val="en-US"/>
              </w:rPr>
              <w:t>3</w:t>
            </w:r>
          </w:p>
        </w:tc>
        <w:tc>
          <w:tcPr>
            <w:tcW w:w="1284" w:type="dxa"/>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r>
              <w:rPr>
                <w:rFonts w:hint="eastAsia" w:ascii="Times New Roman" w:hAnsi="Times New Roman" w:eastAsia="仿宋"/>
                <w:sz w:val="24"/>
                <w:szCs w:val="24"/>
              </w:rPr>
              <w:t>CT耐高压型一次性使用静脉留置针</w:t>
            </w:r>
          </w:p>
        </w:tc>
        <w:tc>
          <w:tcPr>
            <w:tcW w:w="5208" w:type="dxa"/>
            <w:noWrap w:val="0"/>
            <w:vAlign w:val="center"/>
          </w:tcPr>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ascii="Times New Roman" w:hAnsi="Times New Roman" w:eastAsia="仿宋"/>
                <w:szCs w:val="24"/>
              </w:rPr>
              <w:t>1、直型、Y型，满足临床各种输液要求；型号：18 G、20 G、22 G、24 G、26 G 。</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2</w:t>
            </w:r>
            <w:r>
              <w:rPr>
                <w:rFonts w:ascii="Times New Roman" w:hAnsi="Times New Roman" w:eastAsia="仿宋"/>
                <w:szCs w:val="24"/>
              </w:rPr>
              <w:t>、置入人体的导管材料表面光滑、柔软、弹性好、穿刺阻力小，且不易打折。</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3</w:t>
            </w:r>
            <w:r>
              <w:rPr>
                <w:rFonts w:ascii="Times New Roman" w:hAnsi="Times New Roman" w:eastAsia="仿宋"/>
                <w:szCs w:val="24"/>
              </w:rPr>
              <w:t>、导管材质对药物无吸附性，具有生物惰性，相容性好，降低输液外渗发生率，减少并发症。</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4</w:t>
            </w:r>
            <w:r>
              <w:rPr>
                <w:rFonts w:ascii="Times New Roman" w:hAnsi="Times New Roman" w:eastAsia="仿宋"/>
                <w:szCs w:val="24"/>
              </w:rPr>
              <w:t>、该产品供插入人体外周静脉血管系统输液用，留置时间不大于72 小时；</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5</w:t>
            </w:r>
            <w:r>
              <w:rPr>
                <w:rFonts w:ascii="Times New Roman" w:hAnsi="Times New Roman" w:eastAsia="仿宋"/>
                <w:szCs w:val="24"/>
              </w:rPr>
              <w:t>、钢针针尖锋利，无毛刺，具有良好的刚性和韧性。</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6</w:t>
            </w:r>
            <w:r>
              <w:rPr>
                <w:rFonts w:ascii="Times New Roman" w:hAnsi="Times New Roman" w:eastAsia="仿宋"/>
                <w:szCs w:val="24"/>
              </w:rPr>
              <w:t>、导管在 X 射线下能显影，在导管发生意外断管时，能通过X照射清楚定位。</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7</w:t>
            </w:r>
            <w:r>
              <w:rPr>
                <w:rFonts w:ascii="Times New Roman" w:hAnsi="Times New Roman" w:eastAsia="仿宋"/>
                <w:szCs w:val="24"/>
              </w:rPr>
              <w:t>、有耐高压(CT)标志，方便辨认。</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ascii="Times New Roman" w:hAnsi="Times New Roman" w:eastAsia="仿宋"/>
                <w:szCs w:val="24"/>
              </w:rPr>
              <w:t>*</w:t>
            </w:r>
            <w:r>
              <w:rPr>
                <w:rFonts w:hint="eastAsia" w:ascii="Times New Roman" w:hAnsi="Times New Roman" w:eastAsia="仿宋"/>
                <w:szCs w:val="24"/>
                <w:lang w:val="en-US" w:eastAsia="zh-CN"/>
              </w:rPr>
              <w:t>8</w:t>
            </w:r>
            <w:r>
              <w:rPr>
                <w:rFonts w:ascii="Times New Roman" w:hAnsi="Times New Roman" w:eastAsia="仿宋"/>
                <w:szCs w:val="24"/>
              </w:rPr>
              <w:t>、能耐受≥300psi压力(提供第三方检测报告或注册证明)</w:t>
            </w:r>
          </w:p>
          <w:p>
            <w:pPr>
              <w:wordWrap w:val="0"/>
              <w:topLinePunct/>
              <w:autoSpaceDE/>
              <w:autoSpaceDN/>
              <w:adjustRightInd w:val="0"/>
              <w:snapToGrid w:val="0"/>
              <w:spacing w:line="360" w:lineRule="auto"/>
              <w:jc w:val="both"/>
              <w:rPr>
                <w:rFonts w:hint="eastAsia" w:ascii="Times New Roman" w:hAnsi="Times New Roman" w:eastAsia="仿宋"/>
                <w:sz w:val="24"/>
                <w:szCs w:val="24"/>
              </w:rPr>
            </w:pPr>
            <w:r>
              <w:rPr>
                <w:rFonts w:hint="eastAsia" w:ascii="Times New Roman" w:hAnsi="Times New Roman" w:eastAsia="仿宋"/>
                <w:sz w:val="24"/>
                <w:szCs w:val="24"/>
                <w:lang w:val="en-US" w:eastAsia="zh-CN"/>
              </w:rPr>
              <w:t>9</w:t>
            </w:r>
            <w:r>
              <w:rPr>
                <w:rFonts w:hint="eastAsia" w:ascii="Times New Roman" w:hAnsi="Times New Roman" w:eastAsia="仿宋"/>
                <w:sz w:val="24"/>
                <w:szCs w:val="24"/>
              </w:rPr>
              <w:t>、提供操作培训。</w:t>
            </w:r>
          </w:p>
        </w:tc>
        <w:tc>
          <w:tcPr>
            <w:tcW w:w="828" w:type="dxa"/>
            <w:noWrap w:val="0"/>
            <w:vAlign w:val="center"/>
          </w:tcPr>
          <w:p>
            <w:pPr>
              <w:wordWrap w:val="0"/>
              <w:topLinePunct/>
              <w:autoSpaceDE/>
              <w:autoSpaceDN/>
              <w:adjustRightInd w:val="0"/>
              <w:snapToGrid w:val="0"/>
              <w:spacing w:line="360" w:lineRule="auto"/>
              <w:jc w:val="center"/>
              <w:rPr>
                <w:rFonts w:ascii="Times New Roman" w:hAnsi="Times New Roman" w:eastAsia="仿宋"/>
                <w:sz w:val="24"/>
                <w:szCs w:val="24"/>
                <w:lang w:val="en-US"/>
              </w:rPr>
            </w:pPr>
            <w:r>
              <w:rPr>
                <w:rFonts w:hint="eastAsia" w:ascii="Times New Roman" w:hAnsi="Times New Roman" w:eastAsia="仿宋"/>
                <w:sz w:val="24"/>
                <w:szCs w:val="24"/>
                <w:lang w:val="en-US"/>
              </w:rPr>
              <w:t>5400</w:t>
            </w:r>
          </w:p>
        </w:tc>
        <w:tc>
          <w:tcPr>
            <w:tcW w:w="540" w:type="dxa"/>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lang w:val="en-US"/>
              </w:rPr>
            </w:pPr>
            <w:r>
              <w:rPr>
                <w:rFonts w:hint="eastAsia" w:ascii="Times New Roman" w:hAnsi="Times New Roman" w:eastAsia="仿宋"/>
                <w:sz w:val="24"/>
                <w:szCs w:val="24"/>
                <w:lang w:val="en-US"/>
              </w:rPr>
              <w:t>支</w:t>
            </w:r>
          </w:p>
        </w:tc>
        <w:tc>
          <w:tcPr>
            <w:tcW w:w="556" w:type="dxa"/>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pPr>
              <w:wordWrap w:val="0"/>
              <w:topLinePunct/>
              <w:autoSpaceDE/>
              <w:autoSpaceDN/>
              <w:adjustRightInd w:val="0"/>
              <w:snapToGrid w:val="0"/>
              <w:spacing w:line="360" w:lineRule="auto"/>
              <w:jc w:val="center"/>
              <w:rPr>
                <w:rFonts w:ascii="Times New Roman" w:hAnsi="Times New Roman" w:eastAsia="仿宋"/>
                <w:sz w:val="24"/>
                <w:szCs w:val="24"/>
                <w:lang w:val="en-US"/>
              </w:rPr>
            </w:pPr>
            <w:r>
              <w:rPr>
                <w:rFonts w:hint="eastAsia" w:ascii="Times New Roman" w:hAnsi="Times New Roman" w:eastAsia="仿宋"/>
                <w:sz w:val="24"/>
                <w:szCs w:val="24"/>
                <w:lang w:val="en-US"/>
              </w:rPr>
              <w:t>4</w:t>
            </w:r>
          </w:p>
        </w:tc>
        <w:tc>
          <w:tcPr>
            <w:tcW w:w="1284" w:type="dxa"/>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r>
              <w:rPr>
                <w:rFonts w:hint="eastAsia" w:ascii="Times New Roman" w:hAnsi="Times New Roman" w:eastAsia="仿宋"/>
                <w:sz w:val="24"/>
                <w:szCs w:val="24"/>
              </w:rPr>
              <w:t>动脉留置针型一次性使用动静脉留置针</w:t>
            </w:r>
          </w:p>
        </w:tc>
        <w:tc>
          <w:tcPr>
            <w:tcW w:w="5208" w:type="dxa"/>
            <w:noWrap w:val="0"/>
            <w:vAlign w:val="center"/>
          </w:tcPr>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ascii="Times New Roman" w:hAnsi="Times New Roman" w:eastAsia="仿宋"/>
                <w:szCs w:val="24"/>
              </w:rPr>
              <w:t>1、产品用于动脉血压监测及连续动脉血气的监测。</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2</w:t>
            </w:r>
            <w:r>
              <w:rPr>
                <w:rFonts w:ascii="Times New Roman" w:hAnsi="Times New Roman" w:eastAsia="仿宋"/>
                <w:szCs w:val="24"/>
              </w:rPr>
              <w:t>、导管具有合适动脉的足够硬度和韧性，避免反复穿刺给患者带来的痛苦。</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3</w:t>
            </w:r>
            <w:r>
              <w:rPr>
                <w:rFonts w:ascii="Times New Roman" w:hAnsi="Times New Roman" w:eastAsia="仿宋"/>
                <w:szCs w:val="24"/>
              </w:rPr>
              <w:t>、产品具有开关紧缩功能，能够防止血液逆流，减少出血量，方便医生单手操作。</w:t>
            </w:r>
          </w:p>
          <w:p>
            <w:pPr>
              <w:pStyle w:val="7"/>
              <w:shd w:val="clear" w:color="auto" w:fill="FFFFFF"/>
              <w:spacing w:before="0" w:beforeAutospacing="0" w:after="0" w:afterAutospacing="0" w:line="240" w:lineRule="atLeast"/>
              <w:jc w:val="both"/>
              <w:rPr>
                <w:rFonts w:hint="default" w:ascii="Times New Roman" w:hAnsi="Times New Roman" w:eastAsia="仿宋"/>
                <w:szCs w:val="24"/>
              </w:rPr>
            </w:pPr>
            <w:r>
              <w:rPr>
                <w:rFonts w:hint="eastAsia" w:ascii="Times New Roman" w:hAnsi="Times New Roman" w:eastAsia="仿宋"/>
                <w:szCs w:val="24"/>
                <w:lang w:val="en-US" w:eastAsia="zh-CN"/>
              </w:rPr>
              <w:t>4</w:t>
            </w:r>
            <w:r>
              <w:rPr>
                <w:rFonts w:ascii="Times New Roman" w:hAnsi="Times New Roman" w:eastAsia="仿宋"/>
                <w:szCs w:val="24"/>
              </w:rPr>
              <w:t>、规格齐全：18G、20G、22G、24G。</w:t>
            </w:r>
          </w:p>
          <w:p>
            <w:pPr>
              <w:wordWrap w:val="0"/>
              <w:topLinePunct/>
              <w:autoSpaceDE/>
              <w:autoSpaceDN/>
              <w:adjustRightInd w:val="0"/>
              <w:snapToGrid w:val="0"/>
              <w:spacing w:line="360" w:lineRule="auto"/>
              <w:jc w:val="both"/>
              <w:rPr>
                <w:rFonts w:hint="eastAsia" w:ascii="Times New Roman" w:hAnsi="Times New Roman" w:eastAsia="仿宋"/>
                <w:sz w:val="24"/>
                <w:szCs w:val="24"/>
              </w:rPr>
            </w:pPr>
            <w:r>
              <w:rPr>
                <w:rFonts w:hint="eastAsia" w:ascii="Times New Roman" w:hAnsi="Times New Roman" w:eastAsia="仿宋"/>
                <w:sz w:val="24"/>
                <w:szCs w:val="24"/>
                <w:lang w:val="en-US" w:eastAsia="zh-CN"/>
              </w:rPr>
              <w:t>5</w:t>
            </w:r>
            <w:r>
              <w:rPr>
                <w:rFonts w:hint="eastAsia" w:ascii="Times New Roman" w:hAnsi="Times New Roman" w:eastAsia="仿宋"/>
                <w:sz w:val="24"/>
                <w:szCs w:val="24"/>
              </w:rPr>
              <w:t>、提供操作培训。</w:t>
            </w:r>
          </w:p>
        </w:tc>
        <w:tc>
          <w:tcPr>
            <w:tcW w:w="828" w:type="dxa"/>
            <w:noWrap w:val="0"/>
            <w:vAlign w:val="center"/>
          </w:tcPr>
          <w:p>
            <w:pPr>
              <w:wordWrap w:val="0"/>
              <w:topLinePunct/>
              <w:autoSpaceDE/>
              <w:autoSpaceDN/>
              <w:adjustRightInd w:val="0"/>
              <w:snapToGrid w:val="0"/>
              <w:spacing w:line="360" w:lineRule="auto"/>
              <w:jc w:val="center"/>
              <w:rPr>
                <w:rFonts w:ascii="Times New Roman" w:hAnsi="Times New Roman" w:eastAsia="仿宋"/>
                <w:sz w:val="24"/>
                <w:szCs w:val="24"/>
                <w:lang w:val="en-US"/>
              </w:rPr>
            </w:pPr>
            <w:r>
              <w:rPr>
                <w:rFonts w:hint="eastAsia" w:ascii="Times New Roman" w:hAnsi="Times New Roman" w:eastAsia="仿宋"/>
                <w:sz w:val="24"/>
                <w:szCs w:val="24"/>
                <w:lang w:val="en-US"/>
              </w:rPr>
              <w:t>2000</w:t>
            </w:r>
          </w:p>
        </w:tc>
        <w:tc>
          <w:tcPr>
            <w:tcW w:w="540" w:type="dxa"/>
            <w:noWrap w:val="0"/>
            <w:vAlign w:val="center"/>
          </w:tcPr>
          <w:p>
            <w:pPr>
              <w:wordWrap w:val="0"/>
              <w:topLinePunct/>
              <w:autoSpaceDE/>
              <w:autoSpaceDN/>
              <w:adjustRightInd w:val="0"/>
              <w:snapToGrid w:val="0"/>
              <w:spacing w:line="360" w:lineRule="auto"/>
              <w:jc w:val="center"/>
              <w:rPr>
                <w:rFonts w:ascii="Times New Roman" w:hAnsi="Times New Roman" w:eastAsia="仿宋"/>
                <w:sz w:val="24"/>
                <w:szCs w:val="24"/>
                <w:lang w:val="en-US"/>
              </w:rPr>
            </w:pPr>
            <w:r>
              <w:rPr>
                <w:rFonts w:hint="eastAsia" w:ascii="Times New Roman" w:hAnsi="Times New Roman" w:eastAsia="仿宋"/>
                <w:sz w:val="24"/>
                <w:szCs w:val="24"/>
                <w:lang w:val="en-US"/>
              </w:rPr>
              <w:t>支</w:t>
            </w:r>
          </w:p>
        </w:tc>
        <w:tc>
          <w:tcPr>
            <w:tcW w:w="556" w:type="dxa"/>
            <w:noWrap w:val="0"/>
            <w:vAlign w:val="center"/>
          </w:tcPr>
          <w:p>
            <w:pPr>
              <w:wordWrap w:val="0"/>
              <w:topLinePunct/>
              <w:autoSpaceDE/>
              <w:autoSpaceDN/>
              <w:adjustRightInd w:val="0"/>
              <w:snapToGrid w:val="0"/>
              <w:spacing w:line="360" w:lineRule="auto"/>
              <w:jc w:val="center"/>
              <w:rPr>
                <w:rFonts w:hint="eastAsia" w:ascii="Times New Roman" w:hAnsi="Times New Roman" w:eastAsia="仿宋"/>
                <w:sz w:val="24"/>
                <w:szCs w:val="24"/>
              </w:rPr>
            </w:pPr>
          </w:p>
        </w:tc>
      </w:tr>
    </w:tbl>
    <w:p>
      <w:pPr>
        <w:spacing w:line="360" w:lineRule="auto"/>
        <w:ind w:firstLine="562" w:firstLineChars="200"/>
        <w:jc w:val="center"/>
        <w:rPr>
          <w:rFonts w:hint="eastAsia" w:ascii="宋体" w:hAnsi="宋体"/>
          <w:b/>
          <w:color w:val="000000"/>
          <w:sz w:val="24"/>
          <w:szCs w:val="24"/>
          <w:highlight w:val="none"/>
        </w:rPr>
      </w:pPr>
      <w:r>
        <w:rPr>
          <w:rFonts w:hint="eastAsia" w:ascii="宋体" w:hAnsi="宋体"/>
          <w:b/>
          <w:color w:val="000000"/>
          <w:sz w:val="28"/>
          <w:szCs w:val="28"/>
          <w:highlight w:val="none"/>
        </w:rPr>
        <w:t>综合</w:t>
      </w:r>
      <w:r>
        <w:rPr>
          <w:rFonts w:hint="eastAsia"/>
          <w:b/>
          <w:color w:val="000000"/>
          <w:sz w:val="28"/>
          <w:szCs w:val="28"/>
          <w:highlight w:val="none"/>
          <w:lang w:eastAsia="zh-CN"/>
        </w:rPr>
        <w:t>评估</w:t>
      </w:r>
      <w:r>
        <w:rPr>
          <w:rFonts w:hint="eastAsia" w:ascii="宋体" w:hAnsi="宋体"/>
          <w:b/>
          <w:color w:val="000000"/>
          <w:sz w:val="28"/>
          <w:szCs w:val="28"/>
          <w:highlight w:val="none"/>
        </w:rPr>
        <w:t>法</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 xml:space="preserve">1.评审原则 </w:t>
      </w:r>
    </w:p>
    <w:p>
      <w:pPr>
        <w:spacing w:line="360" w:lineRule="auto"/>
        <w:ind w:firstLine="420" w:firstLineChars="200"/>
        <w:rPr>
          <w:rFonts w:ascii="宋体" w:hAnsi="宋体"/>
          <w:color w:val="FF0000"/>
          <w:sz w:val="21"/>
          <w:szCs w:val="21"/>
          <w:highlight w:val="none"/>
        </w:rPr>
      </w:pPr>
      <w:r>
        <w:rPr>
          <w:rFonts w:hint="eastAsia" w:ascii="宋体" w:hAnsi="宋体"/>
          <w:color w:val="FF0000"/>
          <w:sz w:val="21"/>
          <w:szCs w:val="21"/>
          <w:highlight w:val="none"/>
        </w:rPr>
        <w:t>1.1合法、合规原则。</w:t>
      </w:r>
    </w:p>
    <w:p>
      <w:pPr>
        <w:spacing w:line="360" w:lineRule="auto"/>
        <w:ind w:firstLine="420" w:firstLineChars="200"/>
        <w:rPr>
          <w:rFonts w:ascii="宋体" w:hAnsi="宋体"/>
          <w:color w:val="FF0000"/>
          <w:sz w:val="21"/>
          <w:szCs w:val="21"/>
          <w:highlight w:val="none"/>
        </w:rPr>
      </w:pPr>
      <w:r>
        <w:rPr>
          <w:rFonts w:hint="eastAsia" w:ascii="宋体" w:hAnsi="宋体"/>
          <w:color w:val="FF0000"/>
          <w:sz w:val="21"/>
          <w:szCs w:val="21"/>
          <w:highlight w:val="none"/>
        </w:rPr>
        <w:t>1.</w:t>
      </w:r>
      <w:r>
        <w:rPr>
          <w:rFonts w:hint="eastAsia"/>
          <w:color w:val="FF0000"/>
          <w:sz w:val="21"/>
          <w:szCs w:val="21"/>
          <w:highlight w:val="none"/>
          <w:lang w:val="en-US" w:eastAsia="zh-CN"/>
        </w:rPr>
        <w:t>2</w:t>
      </w:r>
      <w:r>
        <w:rPr>
          <w:rFonts w:hint="eastAsia" w:ascii="宋体" w:hAnsi="宋体"/>
          <w:color w:val="FF0000"/>
          <w:sz w:val="21"/>
          <w:szCs w:val="21"/>
          <w:highlight w:val="none"/>
        </w:rPr>
        <w:t>公平、公正、科学、审慎、择优原则。</w:t>
      </w:r>
    </w:p>
    <w:p>
      <w:pPr>
        <w:spacing w:line="360" w:lineRule="auto"/>
        <w:ind w:firstLine="420" w:firstLineChars="200"/>
        <w:rPr>
          <w:rFonts w:ascii="宋体" w:hAnsi="宋体"/>
          <w:color w:val="000000"/>
          <w:sz w:val="21"/>
          <w:szCs w:val="21"/>
          <w:highlight w:val="none"/>
        </w:rPr>
      </w:pPr>
      <w:r>
        <w:rPr>
          <w:rFonts w:hint="eastAsia" w:ascii="宋体" w:hAnsi="宋体"/>
          <w:color w:val="FF0000"/>
          <w:sz w:val="21"/>
          <w:szCs w:val="21"/>
          <w:highlight w:val="none"/>
        </w:rPr>
        <w:t>1.</w:t>
      </w:r>
      <w:r>
        <w:rPr>
          <w:rFonts w:hint="eastAsia"/>
          <w:color w:val="FF0000"/>
          <w:sz w:val="21"/>
          <w:szCs w:val="21"/>
          <w:highlight w:val="none"/>
          <w:lang w:val="en-US" w:eastAsia="zh-CN"/>
        </w:rPr>
        <w:t>3</w:t>
      </w:r>
      <w:r>
        <w:rPr>
          <w:rFonts w:hint="eastAsia" w:ascii="宋体" w:hAnsi="宋体"/>
          <w:color w:val="FF0000"/>
          <w:sz w:val="21"/>
          <w:szCs w:val="21"/>
          <w:highlight w:val="none"/>
        </w:rPr>
        <w:t>高分优先原则。衡量投标文件满足招标文件规定各项评审标准的程度，折算为综合得分分值，依据每个</w:t>
      </w:r>
      <w:r>
        <w:rPr>
          <w:rFonts w:hint="eastAsia"/>
          <w:color w:val="FF0000"/>
          <w:sz w:val="21"/>
          <w:szCs w:val="21"/>
          <w:highlight w:val="none"/>
          <w:lang w:eastAsia="zh-CN"/>
        </w:rPr>
        <w:t>投标人</w:t>
      </w:r>
      <w:r>
        <w:rPr>
          <w:rFonts w:hint="eastAsia" w:ascii="宋体" w:hAnsi="宋体"/>
          <w:color w:val="FF0000"/>
          <w:sz w:val="21"/>
          <w:szCs w:val="21"/>
          <w:highlight w:val="none"/>
        </w:rPr>
        <w:t>的综合得分由高到低，依次确定排名顺序</w:t>
      </w:r>
      <w:r>
        <w:rPr>
          <w:rFonts w:hint="eastAsia" w:ascii="宋体" w:hAnsi="宋体"/>
          <w:color w:val="000000"/>
          <w:sz w:val="21"/>
          <w:szCs w:val="21"/>
          <w:highlight w:val="none"/>
        </w:rPr>
        <w:t>。</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2.评审分值分配（满分100分）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2.1商务标（</w:t>
      </w:r>
      <w:r>
        <w:rPr>
          <w:rFonts w:hint="eastAsia" w:ascii="宋体" w:hAnsi="宋体"/>
          <w:color w:val="000000"/>
          <w:sz w:val="21"/>
          <w:szCs w:val="21"/>
          <w:highlight w:val="none"/>
          <w:u w:val="single"/>
        </w:rPr>
        <w:t xml:space="preserve"> </w:t>
      </w:r>
      <w:r>
        <w:rPr>
          <w:rFonts w:hint="eastAsia"/>
          <w:color w:val="000000"/>
          <w:sz w:val="21"/>
          <w:szCs w:val="21"/>
          <w:highlight w:val="none"/>
          <w:u w:val="single"/>
          <w:lang w:val="en-US" w:eastAsia="zh-CN"/>
        </w:rPr>
        <w:t>36</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2.2技术标（</w:t>
      </w:r>
      <w:r>
        <w:rPr>
          <w:rFonts w:hint="eastAsia" w:ascii="宋体" w:hAnsi="宋体"/>
          <w:color w:val="000000"/>
          <w:sz w:val="21"/>
          <w:szCs w:val="21"/>
          <w:highlight w:val="none"/>
          <w:u w:val="single"/>
        </w:rPr>
        <w:t xml:space="preserve"> </w:t>
      </w:r>
      <w:r>
        <w:rPr>
          <w:rFonts w:hint="eastAsia"/>
          <w:color w:val="000000"/>
          <w:sz w:val="21"/>
          <w:szCs w:val="21"/>
          <w:highlight w:val="none"/>
          <w:u w:val="single"/>
          <w:lang w:val="en-US" w:eastAsia="zh-CN"/>
        </w:rPr>
        <w:t>64</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分）</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3.评审内容（数值计算结果均保留两位小数，第三位四舍五入）</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3.1资格性和符合性审查内容及标准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评标委员会对投标文件的</w:t>
      </w:r>
      <w:r>
        <w:rPr>
          <w:rFonts w:hint="eastAsia"/>
          <w:color w:val="000000"/>
          <w:sz w:val="21"/>
          <w:szCs w:val="21"/>
          <w:highlight w:val="none"/>
          <w:lang w:eastAsia="zh-CN"/>
        </w:rPr>
        <w:t>资格性响应和</w:t>
      </w:r>
      <w:r>
        <w:rPr>
          <w:rFonts w:hint="eastAsia" w:ascii="宋体" w:hAnsi="宋体"/>
          <w:color w:val="000000"/>
          <w:sz w:val="21"/>
          <w:szCs w:val="21"/>
          <w:highlight w:val="none"/>
        </w:rPr>
        <w:t>符合性响应作合格性审查, 审查结论分为“合格”与“不合格”。审查不合格的投标文件应做</w:t>
      </w:r>
      <w:r>
        <w:rPr>
          <w:rFonts w:hint="eastAsia"/>
          <w:color w:val="000000"/>
          <w:sz w:val="21"/>
          <w:szCs w:val="21"/>
          <w:highlight w:val="none"/>
          <w:lang w:val="en-US" w:eastAsia="zh-CN"/>
        </w:rPr>
        <w:t>否决</w:t>
      </w:r>
      <w:r>
        <w:rPr>
          <w:rFonts w:hint="eastAsia" w:ascii="宋体" w:hAnsi="宋体"/>
          <w:color w:val="000000"/>
          <w:sz w:val="21"/>
          <w:szCs w:val="21"/>
          <w:highlight w:val="none"/>
        </w:rPr>
        <w:t>投标处理</w:t>
      </w:r>
      <w:r>
        <w:rPr>
          <w:rFonts w:hint="eastAsia"/>
          <w:color w:val="000000"/>
          <w:sz w:val="21"/>
          <w:szCs w:val="21"/>
          <w:highlight w:val="none"/>
          <w:lang w:eastAsia="zh-CN"/>
        </w:rPr>
        <w:t>，</w:t>
      </w:r>
      <w:r>
        <w:rPr>
          <w:rFonts w:hint="eastAsia" w:ascii="宋体" w:hAnsi="宋体"/>
          <w:color w:val="000000"/>
          <w:sz w:val="21"/>
          <w:szCs w:val="21"/>
          <w:highlight w:val="none"/>
        </w:rPr>
        <w:t>不再进行后续评审。</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有下列情形之一的，应做</w:t>
      </w:r>
      <w:r>
        <w:rPr>
          <w:rFonts w:hint="eastAsia"/>
          <w:color w:val="000000"/>
          <w:sz w:val="21"/>
          <w:szCs w:val="21"/>
          <w:highlight w:val="none"/>
          <w:lang w:val="en-US" w:eastAsia="zh-CN"/>
        </w:rPr>
        <w:t>否决</w:t>
      </w:r>
      <w:r>
        <w:rPr>
          <w:rFonts w:hint="eastAsia" w:ascii="宋体" w:hAnsi="宋体"/>
          <w:color w:val="000000"/>
          <w:sz w:val="21"/>
          <w:szCs w:val="21"/>
          <w:highlight w:val="none"/>
        </w:rPr>
        <w:t>投标处理：</w:t>
      </w:r>
    </w:p>
    <w:tbl>
      <w:tblPr>
        <w:tblStyle w:val="8"/>
        <w:tblW w:w="954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809"/>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4770" w:type="dxa"/>
            <w:gridSpan w:val="2"/>
            <w:noWrap w:val="0"/>
            <w:vAlign w:val="center"/>
          </w:tcPr>
          <w:p>
            <w:pPr>
              <w:jc w:val="center"/>
              <w:rPr>
                <w:color w:val="000000"/>
                <w:sz w:val="21"/>
                <w:szCs w:val="21"/>
                <w:highlight w:val="none"/>
              </w:rPr>
            </w:pPr>
            <w:r>
              <w:rPr>
                <w:color w:val="000000"/>
                <w:sz w:val="21"/>
                <w:szCs w:val="21"/>
                <w:highlight w:val="none"/>
              </w:rPr>
              <w:t>审查内容</w:t>
            </w:r>
          </w:p>
        </w:tc>
        <w:tc>
          <w:tcPr>
            <w:tcW w:w="4771" w:type="dxa"/>
            <w:noWrap w:val="0"/>
            <w:vAlign w:val="center"/>
          </w:tcPr>
          <w:p>
            <w:pPr>
              <w:jc w:val="center"/>
              <w:rPr>
                <w:color w:val="000000"/>
                <w:sz w:val="21"/>
                <w:szCs w:val="21"/>
                <w:highlight w:val="none"/>
              </w:rPr>
            </w:pPr>
            <w:r>
              <w:rPr>
                <w:color w:val="000000"/>
                <w:sz w:val="21"/>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961" w:type="dxa"/>
            <w:vMerge w:val="restart"/>
            <w:noWrap w:val="0"/>
            <w:vAlign w:val="center"/>
          </w:tcPr>
          <w:p>
            <w:pPr>
              <w:jc w:val="left"/>
              <w:rPr>
                <w:color w:val="000000"/>
                <w:sz w:val="21"/>
                <w:szCs w:val="21"/>
                <w:highlight w:val="none"/>
              </w:rPr>
            </w:pPr>
            <w:r>
              <w:rPr>
                <w:color w:val="000000"/>
                <w:sz w:val="21"/>
                <w:szCs w:val="21"/>
                <w:highlight w:val="none"/>
              </w:rPr>
              <w:t>资格性审查</w:t>
            </w:r>
          </w:p>
        </w:tc>
        <w:tc>
          <w:tcPr>
            <w:tcW w:w="3809" w:type="dxa"/>
            <w:noWrap w:val="0"/>
            <w:vAlign w:val="center"/>
          </w:tcPr>
          <w:p>
            <w:pPr>
              <w:jc w:val="left"/>
              <w:rPr>
                <w:color w:val="000000"/>
                <w:sz w:val="21"/>
                <w:szCs w:val="21"/>
                <w:highlight w:val="none"/>
              </w:rPr>
            </w:pPr>
            <w:r>
              <w:rPr>
                <w:color w:val="000000"/>
                <w:sz w:val="21"/>
                <w:szCs w:val="21"/>
                <w:highlight w:val="none"/>
              </w:rPr>
              <w:t>营业执照</w:t>
            </w:r>
          </w:p>
        </w:tc>
        <w:tc>
          <w:tcPr>
            <w:tcW w:w="4771" w:type="dxa"/>
            <w:noWrap w:val="0"/>
            <w:vAlign w:val="center"/>
          </w:tcPr>
          <w:p>
            <w:pPr>
              <w:tabs>
                <w:tab w:val="center" w:pos="2378"/>
              </w:tabs>
              <w:jc w:val="left"/>
              <w:rPr>
                <w:color w:val="000000"/>
                <w:sz w:val="21"/>
                <w:szCs w:val="21"/>
                <w:highlight w:val="none"/>
              </w:rPr>
            </w:pPr>
            <w:r>
              <w:rPr>
                <w:color w:val="000000"/>
                <w:sz w:val="21"/>
                <w:szCs w:val="21"/>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资格</w:t>
            </w:r>
            <w:r>
              <w:rPr>
                <w:color w:val="000000"/>
                <w:sz w:val="21"/>
                <w:szCs w:val="21"/>
                <w:highlight w:val="none"/>
              </w:rPr>
              <w:t>条件</w:t>
            </w:r>
          </w:p>
        </w:tc>
        <w:tc>
          <w:tcPr>
            <w:tcW w:w="4771" w:type="dxa"/>
            <w:noWrap w:val="0"/>
            <w:vAlign w:val="center"/>
          </w:tcPr>
          <w:p>
            <w:pPr>
              <w:jc w:val="left"/>
              <w:rPr>
                <w:color w:val="000000"/>
                <w:sz w:val="21"/>
                <w:szCs w:val="21"/>
                <w:highlight w:val="none"/>
              </w:rPr>
            </w:pPr>
            <w:r>
              <w:rPr>
                <w:color w:val="000000"/>
                <w:sz w:val="21"/>
                <w:szCs w:val="21"/>
                <w:highlight w:val="none"/>
              </w:rPr>
              <w:t>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法定代表人或授权委托人资格</w:t>
            </w:r>
          </w:p>
        </w:tc>
        <w:tc>
          <w:tcPr>
            <w:tcW w:w="4771" w:type="dxa"/>
            <w:noWrap w:val="0"/>
            <w:vAlign w:val="center"/>
          </w:tcPr>
          <w:p>
            <w:pPr>
              <w:jc w:val="left"/>
              <w:rPr>
                <w:color w:val="000000"/>
                <w:sz w:val="21"/>
                <w:szCs w:val="21"/>
                <w:highlight w:val="none"/>
              </w:rPr>
            </w:pPr>
            <w:r>
              <w:rPr>
                <w:color w:val="000000"/>
                <w:sz w:val="21"/>
                <w:szCs w:val="21"/>
                <w:highlight w:val="none"/>
              </w:rPr>
              <w:t>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961" w:type="dxa"/>
            <w:vMerge w:val="continue"/>
            <w:noWrap w:val="0"/>
            <w:vAlign w:val="center"/>
          </w:tcPr>
          <w:p>
            <w:pPr>
              <w:jc w:val="left"/>
              <w:rPr>
                <w:color w:val="000000"/>
                <w:sz w:val="21"/>
                <w:szCs w:val="21"/>
                <w:highlight w:val="none"/>
              </w:rPr>
            </w:pPr>
          </w:p>
        </w:tc>
        <w:tc>
          <w:tcPr>
            <w:tcW w:w="3809" w:type="dxa"/>
            <w:noWrap w:val="0"/>
            <w:vAlign w:val="center"/>
          </w:tcPr>
          <w:p>
            <w:pPr>
              <w:ind w:left="0" w:leftChars="0" w:right="0" w:rightChars="0"/>
              <w:jc w:val="left"/>
              <w:rPr>
                <w:color w:val="000000"/>
                <w:sz w:val="21"/>
                <w:szCs w:val="21"/>
                <w:highlight w:val="none"/>
              </w:rPr>
            </w:pPr>
            <w:r>
              <w:rPr>
                <w:rFonts w:hint="eastAsia"/>
                <w:color w:val="000000"/>
                <w:sz w:val="21"/>
                <w:szCs w:val="21"/>
                <w:highlight w:val="none"/>
                <w:lang w:val="en-US" w:eastAsia="zh-CN"/>
              </w:rPr>
              <w:t>投标保证金</w:t>
            </w:r>
          </w:p>
        </w:tc>
        <w:tc>
          <w:tcPr>
            <w:tcW w:w="4771" w:type="dxa"/>
            <w:noWrap w:val="0"/>
            <w:vAlign w:val="center"/>
          </w:tcPr>
          <w:p>
            <w:pPr>
              <w:ind w:left="0" w:leftChars="0" w:right="0" w:rightChars="0"/>
              <w:jc w:val="left"/>
              <w:rPr>
                <w:color w:val="000000"/>
                <w:sz w:val="21"/>
                <w:szCs w:val="21"/>
                <w:highlight w:val="none"/>
              </w:rPr>
            </w:pPr>
            <w:r>
              <w:rPr>
                <w:color w:val="000000"/>
                <w:sz w:val="21"/>
                <w:szCs w:val="21"/>
                <w:highlight w:val="none"/>
              </w:rPr>
              <w:t>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ind w:left="0" w:leftChars="0" w:right="0" w:rightChars="0"/>
              <w:jc w:val="left"/>
              <w:rPr>
                <w:color w:val="000000"/>
                <w:sz w:val="21"/>
                <w:szCs w:val="21"/>
                <w:highlight w:val="none"/>
              </w:rPr>
            </w:pPr>
            <w:r>
              <w:rPr>
                <w:color w:val="000000"/>
                <w:sz w:val="21"/>
                <w:szCs w:val="21"/>
                <w:highlight w:val="none"/>
              </w:rPr>
              <w:t>其他</w:t>
            </w:r>
            <w:r>
              <w:rPr>
                <w:rFonts w:hint="eastAsia"/>
                <w:color w:val="000000"/>
                <w:sz w:val="21"/>
                <w:szCs w:val="21"/>
                <w:highlight w:val="none"/>
                <w:lang w:eastAsia="zh-CN"/>
              </w:rPr>
              <w:t>要求</w:t>
            </w:r>
          </w:p>
        </w:tc>
        <w:tc>
          <w:tcPr>
            <w:tcW w:w="4771" w:type="dxa"/>
            <w:noWrap w:val="0"/>
            <w:vAlign w:val="center"/>
          </w:tcPr>
          <w:p>
            <w:pPr>
              <w:spacing w:line="360" w:lineRule="exact"/>
              <w:ind w:left="0" w:leftChars="0" w:right="0" w:rightChars="0"/>
              <w:rPr>
                <w:color w:val="000000"/>
                <w:sz w:val="21"/>
                <w:szCs w:val="21"/>
                <w:highlight w:val="none"/>
              </w:rPr>
            </w:pPr>
            <w:r>
              <w:rPr>
                <w:color w:val="000000"/>
                <w:sz w:val="21"/>
                <w:szCs w:val="21"/>
                <w:highlight w:val="none"/>
              </w:rPr>
              <w:t>不符合招标文件要求</w:t>
            </w:r>
          </w:p>
        </w:tc>
      </w:tr>
    </w:tbl>
    <w:p>
      <w:pPr>
        <w:spacing w:line="360" w:lineRule="auto"/>
        <w:rPr>
          <w:rFonts w:ascii="宋体" w:hAnsi="宋体"/>
          <w:color w:val="000000"/>
          <w:sz w:val="21"/>
          <w:szCs w:val="21"/>
          <w:highlight w:val="none"/>
        </w:rPr>
      </w:pPr>
    </w:p>
    <w:tbl>
      <w:tblPr>
        <w:tblStyle w:val="8"/>
        <w:tblW w:w="954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809"/>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restart"/>
            <w:noWrap w:val="0"/>
            <w:vAlign w:val="center"/>
          </w:tcPr>
          <w:p>
            <w:pPr>
              <w:jc w:val="left"/>
              <w:rPr>
                <w:color w:val="000000"/>
                <w:sz w:val="21"/>
                <w:szCs w:val="21"/>
                <w:highlight w:val="none"/>
              </w:rPr>
            </w:pPr>
            <w:r>
              <w:rPr>
                <w:color w:val="000000"/>
                <w:sz w:val="21"/>
                <w:szCs w:val="21"/>
                <w:highlight w:val="none"/>
              </w:rPr>
              <w:t>符合性审查</w:t>
            </w:r>
          </w:p>
        </w:tc>
        <w:tc>
          <w:tcPr>
            <w:tcW w:w="3809" w:type="dxa"/>
            <w:noWrap w:val="0"/>
            <w:vAlign w:val="center"/>
          </w:tcPr>
          <w:p>
            <w:pPr>
              <w:jc w:val="left"/>
              <w:rPr>
                <w:color w:val="000000"/>
                <w:sz w:val="21"/>
                <w:szCs w:val="21"/>
                <w:highlight w:val="none"/>
              </w:rPr>
            </w:pPr>
            <w:r>
              <w:rPr>
                <w:rFonts w:hint="eastAsia"/>
                <w:color w:val="000000"/>
                <w:sz w:val="21"/>
                <w:szCs w:val="21"/>
                <w:highlight w:val="none"/>
                <w:lang w:eastAsia="zh-CN"/>
              </w:rPr>
              <w:t>投标人</w:t>
            </w:r>
            <w:r>
              <w:rPr>
                <w:color w:val="000000"/>
                <w:sz w:val="21"/>
                <w:szCs w:val="21"/>
                <w:highlight w:val="none"/>
              </w:rPr>
              <w:t>名称</w:t>
            </w:r>
          </w:p>
        </w:tc>
        <w:tc>
          <w:tcPr>
            <w:tcW w:w="4771" w:type="dxa"/>
            <w:noWrap w:val="0"/>
            <w:vAlign w:val="center"/>
          </w:tcPr>
          <w:p>
            <w:pPr>
              <w:jc w:val="left"/>
              <w:rPr>
                <w:color w:val="000000"/>
                <w:sz w:val="21"/>
                <w:szCs w:val="21"/>
                <w:highlight w:val="none"/>
              </w:rPr>
            </w:pPr>
            <w:r>
              <w:rPr>
                <w:color w:val="000000"/>
                <w:sz w:val="21"/>
                <w:szCs w:val="21"/>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投标文件签署</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未按招标文件规定格式进行签字（签章）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投标文件格式</w:t>
            </w:r>
          </w:p>
        </w:tc>
        <w:tc>
          <w:tcPr>
            <w:tcW w:w="4771" w:type="dxa"/>
            <w:noWrap w:val="0"/>
            <w:vAlign w:val="center"/>
          </w:tcPr>
          <w:p>
            <w:pPr>
              <w:jc w:val="left"/>
              <w:rPr>
                <w:color w:val="000000"/>
                <w:sz w:val="21"/>
                <w:szCs w:val="21"/>
                <w:highlight w:val="none"/>
              </w:rPr>
            </w:pPr>
            <w:r>
              <w:rPr>
                <w:color w:val="000000"/>
                <w:sz w:val="21"/>
                <w:szCs w:val="21"/>
                <w:highlight w:val="none"/>
              </w:rPr>
              <w:t>未按规定格式填写，实质性内容不全或关键字迹模糊、无法辨认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投标方案及报价</w:t>
            </w:r>
          </w:p>
        </w:tc>
        <w:tc>
          <w:tcPr>
            <w:tcW w:w="4771" w:type="dxa"/>
            <w:noWrap w:val="0"/>
            <w:vAlign w:val="center"/>
          </w:tcPr>
          <w:p>
            <w:pPr>
              <w:jc w:val="left"/>
              <w:rPr>
                <w:color w:val="000000"/>
                <w:sz w:val="21"/>
                <w:szCs w:val="21"/>
                <w:highlight w:val="none"/>
              </w:rPr>
            </w:pPr>
            <w:r>
              <w:rPr>
                <w:color w:val="000000"/>
                <w:sz w:val="21"/>
                <w:szCs w:val="21"/>
                <w:highlight w:val="none"/>
              </w:rPr>
              <w:t>报价超过招标文件中规定的预算金额或者最高限价</w:t>
            </w:r>
            <w:r>
              <w:rPr>
                <w:rFonts w:hint="eastAsia"/>
                <w:color w:val="000000"/>
                <w:sz w:val="21"/>
                <w:szCs w:val="21"/>
                <w:highlight w:val="none"/>
              </w:rPr>
              <w:t>；</w:t>
            </w:r>
            <w:r>
              <w:rPr>
                <w:color w:val="000000"/>
                <w:sz w:val="21"/>
                <w:szCs w:val="21"/>
                <w:highlight w:val="none"/>
              </w:rPr>
              <w:t>递交两份或多份内容不同的投标文件，或在一份投标文件中对同一招标项目有两个或多个报价，且未声明哪一个有效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投标有效期</w:t>
            </w:r>
          </w:p>
        </w:tc>
        <w:tc>
          <w:tcPr>
            <w:tcW w:w="4771" w:type="dxa"/>
            <w:noWrap w:val="0"/>
            <w:vAlign w:val="center"/>
          </w:tcPr>
          <w:p>
            <w:pPr>
              <w:jc w:val="left"/>
              <w:rPr>
                <w:color w:val="000000"/>
                <w:sz w:val="21"/>
                <w:szCs w:val="21"/>
                <w:highlight w:val="none"/>
              </w:rPr>
            </w:pPr>
            <w:r>
              <w:rPr>
                <w:color w:val="000000"/>
                <w:sz w:val="21"/>
                <w:szCs w:val="21"/>
                <w:highlight w:val="none"/>
              </w:rPr>
              <w:t>不符合招标文件的要求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交货</w:t>
            </w:r>
            <w:r>
              <w:rPr>
                <w:rFonts w:hint="eastAsia"/>
                <w:color w:val="000000"/>
                <w:sz w:val="21"/>
                <w:szCs w:val="21"/>
                <w:highlight w:val="none"/>
                <w:lang w:val="en-US" w:eastAsia="zh-CN"/>
              </w:rPr>
              <w:t>期、</w:t>
            </w:r>
            <w:r>
              <w:rPr>
                <w:color w:val="000000"/>
                <w:sz w:val="21"/>
                <w:szCs w:val="21"/>
                <w:highlight w:val="none"/>
              </w:rPr>
              <w:t>地点、质保期或付款方式</w:t>
            </w:r>
          </w:p>
        </w:tc>
        <w:tc>
          <w:tcPr>
            <w:tcW w:w="4771" w:type="dxa"/>
            <w:noWrap w:val="0"/>
            <w:vAlign w:val="center"/>
          </w:tcPr>
          <w:p>
            <w:pPr>
              <w:jc w:val="left"/>
              <w:rPr>
                <w:color w:val="000000"/>
                <w:sz w:val="21"/>
                <w:szCs w:val="21"/>
                <w:highlight w:val="none"/>
              </w:rPr>
            </w:pPr>
            <w:r>
              <w:rPr>
                <w:color w:val="000000"/>
                <w:sz w:val="21"/>
                <w:szCs w:val="21"/>
                <w:highlight w:val="none"/>
              </w:rPr>
              <w:t>不符合招标文件的要求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投标文件创建标识码</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不同</w:t>
            </w:r>
            <w:r>
              <w:rPr>
                <w:rFonts w:hint="eastAsia"/>
                <w:color w:val="000000"/>
                <w:sz w:val="21"/>
                <w:szCs w:val="21"/>
                <w:highlight w:val="none"/>
                <w:lang w:eastAsia="zh-CN"/>
              </w:rPr>
              <w:t>投标人</w:t>
            </w:r>
            <w:r>
              <w:rPr>
                <w:rFonts w:hint="eastAsia"/>
                <w:color w:val="000000"/>
                <w:sz w:val="21"/>
                <w:szCs w:val="21"/>
                <w:highlight w:val="none"/>
              </w:rPr>
              <w:t>投标文件创建标识码相同的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投标文件的机器识别码</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不同</w:t>
            </w:r>
            <w:r>
              <w:rPr>
                <w:rFonts w:hint="eastAsia"/>
                <w:color w:val="000000"/>
                <w:sz w:val="21"/>
                <w:szCs w:val="21"/>
                <w:highlight w:val="none"/>
                <w:lang w:eastAsia="zh-CN"/>
              </w:rPr>
              <w:t>投标人</w:t>
            </w:r>
            <w:r>
              <w:rPr>
                <w:rFonts w:hint="eastAsia"/>
                <w:color w:val="000000"/>
                <w:sz w:val="21"/>
                <w:szCs w:val="21"/>
                <w:highlight w:val="none"/>
              </w:rPr>
              <w:t>的机器识别码相同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其他实质性响应</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不符合招标文件的要求</w:t>
            </w:r>
          </w:p>
        </w:tc>
      </w:tr>
    </w:tbl>
    <w:p>
      <w:pPr>
        <w:spacing w:line="360" w:lineRule="auto"/>
        <w:ind w:firstLine="420" w:firstLineChars="200"/>
        <w:rPr>
          <w:rFonts w:hint="eastAsia" w:ascii="宋体" w:hAnsi="宋体"/>
          <w:color w:val="000000"/>
          <w:sz w:val="21"/>
          <w:szCs w:val="21"/>
          <w:highlight w:val="none"/>
        </w:rPr>
      </w:pP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3.2商务标评审内容及标准（</w:t>
      </w:r>
      <w:r>
        <w:rPr>
          <w:rFonts w:hint="eastAsia" w:ascii="宋体" w:hAnsi="宋体"/>
          <w:color w:val="000000"/>
          <w:sz w:val="21"/>
          <w:szCs w:val="21"/>
          <w:highlight w:val="none"/>
          <w:u w:val="single"/>
        </w:rPr>
        <w:t xml:space="preserve"> </w:t>
      </w:r>
      <w:r>
        <w:rPr>
          <w:rFonts w:hint="eastAsia"/>
          <w:color w:val="000000"/>
          <w:sz w:val="21"/>
          <w:szCs w:val="21"/>
          <w:highlight w:val="none"/>
          <w:u w:val="single"/>
          <w:lang w:val="en-US" w:eastAsia="zh-CN"/>
        </w:rPr>
        <w:t>36</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分）</w:t>
      </w:r>
    </w:p>
    <w:tbl>
      <w:tblPr>
        <w:tblStyle w:val="8"/>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146"/>
        <w:gridCol w:w="912"/>
        <w:gridCol w:w="748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1146"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color w:val="000000"/>
                <w:sz w:val="21"/>
                <w:szCs w:val="21"/>
                <w:highlight w:val="none"/>
              </w:rPr>
              <w:t>评审项目</w:t>
            </w:r>
          </w:p>
        </w:tc>
        <w:tc>
          <w:tcPr>
            <w:tcW w:w="912"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color w:val="000000"/>
                <w:sz w:val="21"/>
                <w:szCs w:val="21"/>
                <w:highlight w:val="none"/>
              </w:rPr>
              <w:t>分值</w:t>
            </w:r>
          </w:p>
        </w:tc>
        <w:tc>
          <w:tcPr>
            <w:tcW w:w="7483"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color w:val="000000"/>
                <w:sz w:val="21"/>
                <w:szCs w:val="21"/>
                <w:highlight w:val="none"/>
              </w:rPr>
              <w:t>依据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46"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color w:val="000000"/>
                <w:sz w:val="21"/>
                <w:szCs w:val="21"/>
                <w:highlight w:val="none"/>
              </w:rPr>
              <w:t>投标报价</w:t>
            </w:r>
          </w:p>
        </w:tc>
        <w:tc>
          <w:tcPr>
            <w:tcW w:w="912"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ascii="宋体" w:hAnsi="宋体" w:cs="宋体"/>
                <w:color w:val="000000"/>
                <w:sz w:val="21"/>
                <w:szCs w:val="21"/>
                <w:highlight w:val="none"/>
                <w:u w:val="single"/>
              </w:rPr>
              <w:t xml:space="preserve">  </w:t>
            </w:r>
            <w:r>
              <w:rPr>
                <w:rFonts w:hint="eastAsia" w:cs="宋体"/>
                <w:color w:val="000000"/>
                <w:sz w:val="21"/>
                <w:szCs w:val="21"/>
                <w:highlight w:val="none"/>
                <w:u w:val="single"/>
                <w:lang w:val="en-US" w:eastAsia="zh-CN"/>
              </w:rPr>
              <w:t>30</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rPr>
              <w:t>分</w:t>
            </w:r>
          </w:p>
        </w:tc>
        <w:tc>
          <w:tcPr>
            <w:tcW w:w="7483" w:type="dxa"/>
            <w:tcBorders>
              <w:top w:val="outset" w:color="auto" w:sz="6" w:space="0"/>
              <w:left w:val="outset" w:color="auto" w:sz="6" w:space="0"/>
              <w:bottom w:val="outset" w:color="auto" w:sz="6" w:space="0"/>
              <w:right w:val="outset" w:color="auto" w:sz="6" w:space="0"/>
            </w:tcBorders>
            <w:noWrap w:val="0"/>
            <w:vAlign w:val="center"/>
          </w:tcPr>
          <w:p>
            <w:pPr>
              <w:pStyle w:val="5"/>
              <w:rPr>
                <w:rFonts w:ascii="Times New Roman" w:hAnsi="Times New Roman" w:eastAsia="仿宋"/>
              </w:rPr>
            </w:pPr>
            <w:r>
              <w:rPr>
                <w:rFonts w:ascii="仿宋" w:hAnsi="仿宋" w:eastAsia="仿宋"/>
              </w:rPr>
              <w:t>本项评审步骤：</w:t>
            </w:r>
          </w:p>
          <w:p>
            <w:pPr>
              <w:pStyle w:val="5"/>
              <w:rPr>
                <w:rFonts w:ascii="Times New Roman" w:hAnsi="Times New Roman" w:eastAsia="仿宋"/>
              </w:rPr>
            </w:pPr>
            <w:r>
              <w:rPr>
                <w:rFonts w:ascii="Times New Roman" w:hAnsi="Times New Roman" w:eastAsia="仿宋"/>
              </w:rPr>
              <w:t>1.</w:t>
            </w:r>
            <w:r>
              <w:rPr>
                <w:rFonts w:ascii="仿宋" w:hAnsi="仿宋" w:eastAsia="仿宋"/>
              </w:rPr>
              <w:t>评标价的确认：评标委员会对所有实质性响应招标文件要求的投标报价进行核查，根据本招标文件规定的政府采购政策进行的价格扣除。</w:t>
            </w:r>
          </w:p>
          <w:p>
            <w:pPr>
              <w:pStyle w:val="5"/>
              <w:rPr>
                <w:rFonts w:ascii="Times New Roman" w:hAnsi="Times New Roman" w:eastAsia="仿宋"/>
              </w:rPr>
            </w:pPr>
            <w:r>
              <w:rPr>
                <w:rFonts w:ascii="Times New Roman" w:hAnsi="Times New Roman" w:eastAsia="仿宋"/>
              </w:rPr>
              <w:t>1.1</w:t>
            </w:r>
            <w:r>
              <w:rPr>
                <w:rFonts w:ascii="仿宋" w:hAnsi="仿宋" w:eastAsia="仿宋"/>
              </w:rPr>
              <w:t>价格核查：</w:t>
            </w:r>
          </w:p>
          <w:p>
            <w:pPr>
              <w:pStyle w:val="5"/>
              <w:rPr>
                <w:rFonts w:ascii="Times New Roman" w:hAnsi="Times New Roman" w:eastAsia="仿宋"/>
              </w:rPr>
            </w:pPr>
            <w:r>
              <w:rPr>
                <w:rFonts w:ascii="仿宋" w:hAnsi="仿宋" w:eastAsia="仿宋"/>
              </w:rPr>
              <w:t>投标文件报价出现前后不一致的，按照下列规定修正：</w:t>
            </w:r>
          </w:p>
          <w:p>
            <w:pPr>
              <w:pStyle w:val="5"/>
              <w:rPr>
                <w:rFonts w:ascii="Times New Roman" w:hAnsi="Times New Roman" w:eastAsia="仿宋"/>
              </w:rPr>
            </w:pPr>
            <w:r>
              <w:rPr>
                <w:rFonts w:hint="eastAsia" w:ascii="宋体" w:hAnsi="宋体"/>
              </w:rPr>
              <w:t>①</w:t>
            </w:r>
            <w:r>
              <w:rPr>
                <w:rFonts w:ascii="仿宋" w:hAnsi="仿宋" w:eastAsia="仿宋"/>
              </w:rPr>
              <w:t>投标文件中开标一览表（报价表）内容与投标文件中相应内容不一致的，以开标一览表（报价表）为准；</w:t>
            </w:r>
          </w:p>
          <w:p>
            <w:pPr>
              <w:pStyle w:val="5"/>
              <w:rPr>
                <w:rFonts w:ascii="Times New Roman" w:hAnsi="Times New Roman" w:eastAsia="仿宋"/>
              </w:rPr>
            </w:pPr>
            <w:r>
              <w:rPr>
                <w:rFonts w:hint="eastAsia" w:ascii="宋体" w:hAnsi="宋体"/>
              </w:rPr>
              <w:t>②</w:t>
            </w:r>
            <w:r>
              <w:rPr>
                <w:rFonts w:ascii="仿宋" w:hAnsi="仿宋" w:eastAsia="仿宋"/>
              </w:rPr>
              <w:t>大写金额和小写金额不一致的，以大写金额为准；</w:t>
            </w:r>
          </w:p>
          <w:p>
            <w:pPr>
              <w:pStyle w:val="5"/>
              <w:rPr>
                <w:rFonts w:ascii="Times New Roman" w:hAnsi="Times New Roman" w:eastAsia="仿宋"/>
              </w:rPr>
            </w:pPr>
            <w:r>
              <w:rPr>
                <w:rFonts w:hint="eastAsia" w:ascii="宋体" w:hAnsi="宋体"/>
              </w:rPr>
              <w:t>③</w:t>
            </w:r>
            <w:r>
              <w:rPr>
                <w:rFonts w:ascii="仿宋" w:hAnsi="仿宋" w:eastAsia="仿宋"/>
              </w:rPr>
              <w:t>单价金额小数点或者百分比有明显错位的，以开标一览表的总价为准，并修改单价；</w:t>
            </w:r>
          </w:p>
          <w:p>
            <w:pPr>
              <w:pStyle w:val="5"/>
              <w:rPr>
                <w:rFonts w:ascii="Times New Roman" w:hAnsi="Times New Roman" w:eastAsia="仿宋"/>
              </w:rPr>
            </w:pPr>
            <w:r>
              <w:rPr>
                <w:rFonts w:hint="eastAsia" w:ascii="宋体" w:hAnsi="宋体"/>
              </w:rPr>
              <w:t>④</w:t>
            </w:r>
            <w:r>
              <w:rPr>
                <w:rFonts w:ascii="仿宋" w:hAnsi="仿宋" w:eastAsia="仿宋"/>
              </w:rPr>
              <w:t>总价金额与按单价汇总金额不一致的，以单价金额计算结果为准。</w:t>
            </w:r>
          </w:p>
          <w:p>
            <w:pPr>
              <w:pStyle w:val="5"/>
              <w:rPr>
                <w:rFonts w:ascii="Times New Roman" w:hAnsi="Times New Roman" w:eastAsia="仿宋"/>
              </w:rPr>
            </w:pPr>
            <w:r>
              <w:rPr>
                <w:rFonts w:ascii="仿宋" w:hAnsi="仿宋" w:eastAsia="仿宋"/>
              </w:rPr>
              <w:t>同时出现两种以上不一致的，按照前款规定的顺序修正。修正后的报价按照规定经投标人确认后产生约束力，投标人不确认的，其投标无效。</w:t>
            </w:r>
          </w:p>
          <w:p>
            <w:pPr>
              <w:pStyle w:val="5"/>
              <w:rPr>
                <w:rFonts w:ascii="Times New Roman" w:hAnsi="Times New Roman" w:eastAsia="仿宋"/>
              </w:rPr>
            </w:pPr>
            <w:r>
              <w:rPr>
                <w:rFonts w:ascii="仿宋" w:hAnsi="仿宋" w:eastAsia="仿宋"/>
              </w:rPr>
              <w:t>如供应商对招标文件的内容，特别是对招标范围的理解发生误差，有子项漏报的（即该供应商投标报价为漏项报价），</w:t>
            </w:r>
            <w:bookmarkStart w:id="0" w:name="_Hlk130900156"/>
            <w:r>
              <w:rPr>
                <w:rFonts w:ascii="仿宋" w:hAnsi="仿宋" w:eastAsia="仿宋"/>
              </w:rPr>
              <w:t>视作已含在其他项目的报价中</w:t>
            </w:r>
            <w:bookmarkEnd w:id="0"/>
            <w:r>
              <w:rPr>
                <w:rFonts w:ascii="仿宋" w:hAnsi="仿宋" w:eastAsia="仿宋"/>
              </w:rPr>
              <w:t>；如投标人报价多于招标范围的，不予核减；</w:t>
            </w:r>
          </w:p>
          <w:p>
            <w:pPr>
              <w:pStyle w:val="5"/>
              <w:rPr>
                <w:rFonts w:ascii="Times New Roman" w:hAnsi="Times New Roman" w:eastAsia="仿宋"/>
              </w:rPr>
            </w:pPr>
            <w:r>
              <w:rPr>
                <w:rFonts w:ascii="Times New Roman" w:hAnsi="Times New Roman" w:eastAsia="仿宋"/>
              </w:rPr>
              <w:t>1.2</w:t>
            </w:r>
            <w:r>
              <w:rPr>
                <w:rFonts w:ascii="仿宋" w:hAnsi="仿宋" w:eastAsia="仿宋"/>
              </w:rPr>
              <w:t>价格扣除：按招标文件规定的价格扣除办法计算其评标价。</w:t>
            </w:r>
          </w:p>
          <w:p>
            <w:pPr>
              <w:pStyle w:val="5"/>
              <w:rPr>
                <w:rFonts w:ascii="Times New Roman" w:hAnsi="Times New Roman" w:eastAsia="仿宋"/>
              </w:rPr>
            </w:pPr>
            <w:r>
              <w:rPr>
                <w:rFonts w:ascii="Times New Roman" w:hAnsi="Times New Roman" w:eastAsia="仿宋"/>
              </w:rPr>
              <w:t>2.</w:t>
            </w:r>
            <w:r>
              <w:rPr>
                <w:rFonts w:ascii="仿宋" w:hAnsi="仿宋" w:eastAsia="仿宋"/>
              </w:rPr>
              <w:t>评标基准价：评标价最低的为评标基准价。</w:t>
            </w:r>
          </w:p>
          <w:p>
            <w:pPr>
              <w:jc w:val="left"/>
              <w:rPr>
                <w:color w:val="000000"/>
                <w:sz w:val="21"/>
                <w:szCs w:val="21"/>
                <w:highlight w:val="none"/>
              </w:rPr>
            </w:pPr>
            <w:r>
              <w:rPr>
                <w:rFonts w:ascii="Times New Roman" w:hAnsi="Times New Roman" w:eastAsia="仿宋"/>
              </w:rPr>
              <w:t>3.</w:t>
            </w:r>
            <w:r>
              <w:rPr>
                <w:rFonts w:ascii="仿宋" w:hAnsi="仿宋" w:eastAsia="仿宋"/>
              </w:rPr>
              <w:t>投标报价得分计算：评标价为评标基准价的得满分。其他供应商的投标报价得分统一按下列公式计算：投标报价得分</w:t>
            </w:r>
            <w:r>
              <w:rPr>
                <w:rFonts w:ascii="Times New Roman" w:hAnsi="Times New Roman" w:eastAsia="仿宋"/>
              </w:rPr>
              <w:t>=</w:t>
            </w:r>
            <w:r>
              <w:rPr>
                <w:rFonts w:ascii="仿宋" w:hAnsi="仿宋" w:eastAsia="仿宋"/>
              </w:rPr>
              <w:t>（评标基准价</w:t>
            </w:r>
            <w:r>
              <w:rPr>
                <w:rFonts w:ascii="Times New Roman" w:hAnsi="Times New Roman" w:eastAsia="仿宋"/>
              </w:rPr>
              <w:t>/</w:t>
            </w:r>
            <w:r>
              <w:rPr>
                <w:rFonts w:ascii="仿宋" w:hAnsi="仿宋" w:eastAsia="仿宋"/>
              </w:rPr>
              <w:t>评标价）</w:t>
            </w:r>
            <w:r>
              <w:rPr>
                <w:rFonts w:ascii="Times New Roman" w:hAnsi="Times New Roman" w:eastAsia="仿宋"/>
              </w:rPr>
              <w:t>*</w:t>
            </w:r>
            <w:r>
              <w:rPr>
                <w:rFonts w:ascii="仿宋" w:hAnsi="仿宋" w:eastAsia="仿宋"/>
              </w:rPr>
              <w:t>满分分值。</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46" w:type="dxa"/>
            <w:tcBorders>
              <w:top w:val="outset" w:color="auto" w:sz="6" w:space="0"/>
              <w:left w:val="outset" w:color="auto" w:sz="6" w:space="0"/>
              <w:bottom w:val="outset" w:color="auto" w:sz="6" w:space="0"/>
              <w:right w:val="outset" w:color="auto" w:sz="6" w:space="0"/>
            </w:tcBorders>
            <w:noWrap w:val="0"/>
            <w:vAlign w:val="center"/>
          </w:tcPr>
          <w:p>
            <w:pPr>
              <w:jc w:val="left"/>
              <w:rPr>
                <w:rFonts w:hint="default" w:eastAsia="宋体"/>
                <w:color w:val="000000"/>
                <w:sz w:val="21"/>
                <w:szCs w:val="21"/>
                <w:highlight w:val="none"/>
                <w:lang w:val="en-US" w:eastAsia="zh-CN"/>
              </w:rPr>
            </w:pPr>
            <w:r>
              <w:rPr>
                <w:rFonts w:hint="eastAsia" w:cs="宋体"/>
                <w:color w:val="000000"/>
                <w:sz w:val="21"/>
                <w:szCs w:val="21"/>
                <w:highlight w:val="none"/>
                <w:lang w:val="en-US" w:eastAsia="zh-CN"/>
              </w:rPr>
              <w:t>供应商业绩</w:t>
            </w:r>
          </w:p>
        </w:tc>
        <w:tc>
          <w:tcPr>
            <w:tcW w:w="912"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6</w:t>
            </w:r>
            <w:r>
              <w:rPr>
                <w:rFonts w:hint="eastAsia"/>
                <w:color w:val="000000"/>
                <w:sz w:val="21"/>
                <w:szCs w:val="21"/>
                <w:highlight w:val="none"/>
                <w:u w:val="single"/>
              </w:rPr>
              <w:t xml:space="preserve">  </w:t>
            </w:r>
            <w:r>
              <w:rPr>
                <w:rFonts w:hint="eastAsia"/>
                <w:color w:val="000000"/>
                <w:sz w:val="21"/>
                <w:szCs w:val="21"/>
                <w:highlight w:val="none"/>
              </w:rPr>
              <w:t>分</w:t>
            </w:r>
          </w:p>
        </w:tc>
        <w:tc>
          <w:tcPr>
            <w:tcW w:w="7483"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eastAsia="仿宋"/>
              </w:rPr>
              <w:t>供应商</w:t>
            </w:r>
            <w:r>
              <w:rPr>
                <w:rFonts w:hint="eastAsia" w:eastAsia="仿宋"/>
                <w:lang w:val="en-US" w:eastAsia="zh-CN"/>
              </w:rPr>
              <w:t>具备</w:t>
            </w:r>
            <w:r>
              <w:rPr>
                <w:rFonts w:eastAsia="仿宋"/>
              </w:rPr>
              <w:t>同类业务（</w:t>
            </w:r>
            <w:r>
              <w:rPr>
                <w:rFonts w:hint="eastAsia" w:eastAsia="仿宋"/>
                <w:lang w:val="en-US" w:eastAsia="zh-CN"/>
              </w:rPr>
              <w:t>留置针采购</w:t>
            </w:r>
            <w:r>
              <w:rPr>
                <w:rFonts w:eastAsia="仿宋"/>
              </w:rPr>
              <w:t>）</w:t>
            </w:r>
            <w:r>
              <w:rPr>
                <w:rFonts w:hint="eastAsia" w:eastAsia="仿宋"/>
                <w:lang w:val="en-US" w:eastAsia="zh-CN"/>
              </w:rPr>
              <w:t>业绩的，提供业绩</w:t>
            </w:r>
            <w:r>
              <w:rPr>
                <w:rFonts w:eastAsia="仿宋"/>
              </w:rPr>
              <w:t>合同，有一项加</w:t>
            </w:r>
            <w:r>
              <w:rPr>
                <w:rFonts w:eastAsia="仿宋"/>
                <w:u w:val="single"/>
              </w:rPr>
              <w:t xml:space="preserve">  </w:t>
            </w:r>
            <w:r>
              <w:rPr>
                <w:rFonts w:hint="eastAsia" w:eastAsia="仿宋"/>
                <w:u w:val="single"/>
                <w:lang w:val="en-US" w:eastAsia="zh-CN"/>
              </w:rPr>
              <w:t>3</w:t>
            </w:r>
            <w:r>
              <w:rPr>
                <w:rFonts w:eastAsia="仿宋"/>
                <w:u w:val="single"/>
              </w:rPr>
              <w:t xml:space="preserve">  </w:t>
            </w:r>
            <w:r>
              <w:rPr>
                <w:rFonts w:eastAsia="仿宋"/>
              </w:rPr>
              <w:t>分，本项加满为止。</w:t>
            </w:r>
            <w:r>
              <w:rPr>
                <w:rFonts w:ascii="Times New Roman" w:hAnsi="Times New Roman" w:eastAsia="仿宋"/>
                <w:snapToGrid w:val="0"/>
                <w:kern w:val="0"/>
              </w:rPr>
              <w:t>（投标文件中须提供业绩合同，扫描件应能辨识买卖双方公章</w:t>
            </w:r>
            <w:r>
              <w:rPr>
                <w:rFonts w:hint="eastAsia" w:ascii="Times New Roman" w:hAnsi="Times New Roman" w:eastAsia="仿宋"/>
                <w:snapToGrid w:val="0"/>
                <w:kern w:val="0"/>
              </w:rPr>
              <w:t>或合同专用章</w:t>
            </w:r>
            <w:r>
              <w:rPr>
                <w:rFonts w:ascii="Times New Roman" w:hAnsi="Times New Roman" w:eastAsia="仿宋"/>
                <w:snapToGrid w:val="0"/>
                <w:kern w:val="0"/>
              </w:rPr>
              <w:t>、标的信息；如业绩合同不能体现以上全部内容，可提供业绩合同甲方盖公章的证明扫描件。否则，不得分。投标供应商与其关联公司</w:t>
            </w:r>
            <w:r>
              <w:rPr>
                <w:rFonts w:hint="eastAsia" w:ascii="Times New Roman" w:hAnsi="Times New Roman" w:eastAsia="仿宋"/>
                <w:snapToGrid w:val="0"/>
                <w:kern w:val="0"/>
              </w:rPr>
              <w:t>（单位负责人为同一人或者存在直接控股、管理关系的不同供应商）</w:t>
            </w:r>
            <w:r>
              <w:rPr>
                <w:rFonts w:ascii="Times New Roman" w:hAnsi="Times New Roman" w:eastAsia="仿宋"/>
                <w:snapToGrid w:val="0"/>
                <w:kern w:val="0"/>
              </w:rPr>
              <w:t>之间签订的合同，均不予认可。）</w:t>
            </w:r>
          </w:p>
        </w:tc>
      </w:tr>
    </w:tbl>
    <w:p>
      <w:pPr>
        <w:pStyle w:val="12"/>
        <w:numPr>
          <w:ilvl w:val="0"/>
          <w:numId w:val="0"/>
        </w:numPr>
        <w:tabs>
          <w:tab w:val="left" w:pos="1346"/>
        </w:tabs>
        <w:spacing w:before="130" w:after="0" w:line="357" w:lineRule="auto"/>
        <w:ind w:left="819" w:leftChars="0" w:right="691" w:rightChars="0"/>
        <w:jc w:val="left"/>
        <w:rPr>
          <w:rFonts w:hint="eastAsia"/>
          <w:color w:val="000000"/>
          <w:spacing w:val="-8"/>
          <w:sz w:val="21"/>
          <w:szCs w:val="21"/>
          <w:highlight w:val="none"/>
          <w:lang w:eastAsia="zh-CN"/>
        </w:rPr>
      </w:pPr>
    </w:p>
    <w:tbl>
      <w:tblPr>
        <w:tblStyle w:val="9"/>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noWrap w:val="0"/>
            <w:vAlign w:val="top"/>
          </w:tcPr>
          <w:p>
            <w:pPr>
              <w:pStyle w:val="12"/>
              <w:numPr>
                <w:ilvl w:val="0"/>
                <w:numId w:val="0"/>
              </w:numPr>
              <w:tabs>
                <w:tab w:val="left" w:pos="1346"/>
              </w:tabs>
              <w:spacing w:before="130" w:after="0" w:line="357" w:lineRule="auto"/>
              <w:ind w:right="691" w:rightChars="0"/>
              <w:jc w:val="left"/>
              <w:rPr>
                <w:color w:val="000000"/>
                <w:sz w:val="21"/>
                <w:szCs w:val="21"/>
                <w:highlight w:val="none"/>
              </w:rPr>
            </w:pPr>
            <w:r>
              <w:rPr>
                <w:rFonts w:hint="eastAsia"/>
                <w:color w:val="000000"/>
                <w:spacing w:val="-8"/>
                <w:sz w:val="21"/>
                <w:szCs w:val="21"/>
                <w:highlight w:val="none"/>
                <w:lang w:eastAsia="zh-CN"/>
              </w:rPr>
              <w:t>注：</w:t>
            </w:r>
            <w:r>
              <w:rPr>
                <w:color w:val="000000"/>
                <w:spacing w:val="-8"/>
                <w:sz w:val="21"/>
                <w:szCs w:val="21"/>
                <w:highlight w:val="none"/>
              </w:rPr>
              <w:t>投标报价有算术错误及其他错误的，评标委员会按以下原则要求投标人对投标报价进</w:t>
            </w:r>
            <w:r>
              <w:rPr>
                <w:color w:val="000000"/>
                <w:spacing w:val="-3"/>
                <w:sz w:val="21"/>
                <w:szCs w:val="21"/>
                <w:highlight w:val="none"/>
              </w:rPr>
              <w:t>行修正，并要求投标人书面澄清确认。投标人拒不澄清确认的，评标委员会应当否决其投标：</w:t>
            </w:r>
          </w:p>
          <w:p>
            <w:pPr>
              <w:pStyle w:val="12"/>
              <w:numPr>
                <w:ilvl w:val="0"/>
                <w:numId w:val="0"/>
              </w:numPr>
              <w:tabs>
                <w:tab w:val="left" w:pos="1350"/>
              </w:tabs>
              <w:spacing w:before="0" w:after="0" w:line="269" w:lineRule="exact"/>
              <w:ind w:right="0" w:rightChars="0"/>
              <w:jc w:val="left"/>
              <w:rPr>
                <w:color w:val="000000"/>
                <w:sz w:val="21"/>
                <w:szCs w:val="21"/>
                <w:highlight w:val="none"/>
              </w:rPr>
            </w:pPr>
            <w:r>
              <w:rPr>
                <w:rFonts w:hint="eastAsia"/>
                <w:color w:val="000000"/>
                <w:spacing w:val="-3"/>
                <w:sz w:val="21"/>
                <w:szCs w:val="21"/>
                <w:highlight w:val="none"/>
                <w:lang w:eastAsia="zh-CN"/>
              </w:rPr>
              <w:t>（</w:t>
            </w:r>
            <w:r>
              <w:rPr>
                <w:rFonts w:hint="eastAsia"/>
                <w:color w:val="000000"/>
                <w:spacing w:val="-3"/>
                <w:sz w:val="21"/>
                <w:szCs w:val="21"/>
                <w:highlight w:val="none"/>
                <w:lang w:val="en-US" w:eastAsia="zh-CN"/>
              </w:rPr>
              <w:t>1</w:t>
            </w:r>
            <w:r>
              <w:rPr>
                <w:rFonts w:hint="eastAsia"/>
                <w:color w:val="000000"/>
                <w:spacing w:val="-3"/>
                <w:sz w:val="21"/>
                <w:szCs w:val="21"/>
                <w:highlight w:val="none"/>
                <w:lang w:eastAsia="zh-CN"/>
              </w:rPr>
              <w:t>）</w:t>
            </w:r>
            <w:r>
              <w:rPr>
                <w:color w:val="000000"/>
                <w:spacing w:val="-3"/>
                <w:sz w:val="21"/>
                <w:szCs w:val="21"/>
                <w:highlight w:val="none"/>
              </w:rPr>
              <w:t>投标文件中的大写金额与小写金额不一致的，以大写金额为准；</w:t>
            </w:r>
          </w:p>
          <w:p>
            <w:pPr>
              <w:pStyle w:val="12"/>
              <w:numPr>
                <w:ilvl w:val="0"/>
                <w:numId w:val="0"/>
              </w:numPr>
              <w:tabs>
                <w:tab w:val="left" w:pos="1347"/>
              </w:tabs>
              <w:spacing w:before="129" w:after="0" w:line="357" w:lineRule="auto"/>
              <w:ind w:right="693" w:rightChars="0"/>
              <w:jc w:val="left"/>
              <w:rPr>
                <w:color w:val="000000"/>
                <w:sz w:val="21"/>
                <w:szCs w:val="21"/>
                <w:highlight w:val="none"/>
              </w:rPr>
            </w:pPr>
            <w:r>
              <w:rPr>
                <w:rFonts w:hint="eastAsia"/>
                <w:color w:val="000000"/>
                <w:spacing w:val="-6"/>
                <w:sz w:val="21"/>
                <w:szCs w:val="21"/>
                <w:highlight w:val="none"/>
                <w:lang w:eastAsia="zh-CN"/>
              </w:rPr>
              <w:t>（</w:t>
            </w:r>
            <w:r>
              <w:rPr>
                <w:rFonts w:hint="eastAsia"/>
                <w:color w:val="000000"/>
                <w:spacing w:val="-6"/>
                <w:sz w:val="21"/>
                <w:szCs w:val="21"/>
                <w:highlight w:val="none"/>
                <w:lang w:val="en-US" w:eastAsia="zh-CN"/>
              </w:rPr>
              <w:t>2</w:t>
            </w:r>
            <w:r>
              <w:rPr>
                <w:rFonts w:hint="eastAsia"/>
                <w:color w:val="000000"/>
                <w:spacing w:val="-6"/>
                <w:sz w:val="21"/>
                <w:szCs w:val="21"/>
                <w:highlight w:val="none"/>
                <w:lang w:eastAsia="zh-CN"/>
              </w:rPr>
              <w:t>）</w:t>
            </w:r>
            <w:r>
              <w:rPr>
                <w:color w:val="000000"/>
                <w:spacing w:val="-6"/>
                <w:sz w:val="21"/>
                <w:szCs w:val="21"/>
                <w:highlight w:val="none"/>
              </w:rPr>
              <w:t>总价金额与单价金额不一致的，以单价金额为准，但单价金额小数点有明显错误的</w:t>
            </w:r>
            <w:r>
              <w:rPr>
                <w:color w:val="000000"/>
                <w:sz w:val="21"/>
                <w:szCs w:val="21"/>
                <w:highlight w:val="none"/>
              </w:rPr>
              <w:t>除外；</w:t>
            </w:r>
          </w:p>
          <w:p>
            <w:pPr>
              <w:pStyle w:val="12"/>
              <w:numPr>
                <w:ilvl w:val="0"/>
                <w:numId w:val="0"/>
              </w:numPr>
              <w:tabs>
                <w:tab w:val="left" w:pos="1347"/>
              </w:tabs>
              <w:spacing w:before="0" w:after="0" w:line="355" w:lineRule="auto"/>
              <w:ind w:right="691" w:rightChars="0"/>
              <w:jc w:val="left"/>
              <w:rPr>
                <w:color w:val="000000"/>
                <w:sz w:val="21"/>
                <w:szCs w:val="21"/>
                <w:highlight w:val="none"/>
              </w:rPr>
            </w:pPr>
            <w:r>
              <w:rPr>
                <w:rFonts w:hint="eastAsia"/>
                <w:color w:val="000000"/>
                <w:spacing w:val="-6"/>
                <w:sz w:val="21"/>
                <w:szCs w:val="21"/>
                <w:highlight w:val="none"/>
                <w:lang w:eastAsia="zh-CN"/>
              </w:rPr>
              <w:t>（</w:t>
            </w:r>
            <w:r>
              <w:rPr>
                <w:rFonts w:hint="eastAsia"/>
                <w:color w:val="000000"/>
                <w:spacing w:val="-6"/>
                <w:sz w:val="21"/>
                <w:szCs w:val="21"/>
                <w:highlight w:val="none"/>
                <w:lang w:val="en-US" w:eastAsia="zh-CN"/>
              </w:rPr>
              <w:t>3</w:t>
            </w:r>
            <w:r>
              <w:rPr>
                <w:rFonts w:hint="eastAsia"/>
                <w:color w:val="000000"/>
                <w:spacing w:val="-6"/>
                <w:sz w:val="21"/>
                <w:szCs w:val="21"/>
                <w:highlight w:val="none"/>
                <w:lang w:eastAsia="zh-CN"/>
              </w:rPr>
              <w:t>）</w:t>
            </w:r>
            <w:r>
              <w:rPr>
                <w:color w:val="000000"/>
                <w:spacing w:val="-6"/>
                <w:sz w:val="21"/>
                <w:szCs w:val="21"/>
                <w:highlight w:val="none"/>
              </w:rPr>
              <w:t>投标报价为各分项报价金额之和，投标报价与分项报价的合价不一致的，应以各分</w:t>
            </w:r>
            <w:r>
              <w:rPr>
                <w:color w:val="000000"/>
                <w:spacing w:val="-5"/>
                <w:sz w:val="21"/>
                <w:szCs w:val="21"/>
                <w:highlight w:val="none"/>
              </w:rPr>
              <w:t>项合价累计数为准，修正投标报价；</w:t>
            </w:r>
          </w:p>
          <w:p>
            <w:pPr>
              <w:pStyle w:val="12"/>
              <w:numPr>
                <w:ilvl w:val="0"/>
                <w:numId w:val="0"/>
              </w:numPr>
              <w:tabs>
                <w:tab w:val="left" w:pos="1350"/>
              </w:tabs>
              <w:spacing w:before="3" w:after="0" w:line="240" w:lineRule="auto"/>
              <w:ind w:right="0" w:rightChars="0"/>
              <w:jc w:val="left"/>
              <w:rPr>
                <w:rFonts w:hint="eastAsia"/>
                <w:color w:val="000000"/>
                <w:spacing w:val="-8"/>
                <w:sz w:val="21"/>
                <w:szCs w:val="21"/>
                <w:highlight w:val="none"/>
                <w:vertAlign w:val="baseline"/>
                <w:lang w:eastAsia="zh-CN"/>
              </w:rPr>
            </w:pPr>
            <w:r>
              <w:rPr>
                <w:rFonts w:hint="eastAsia"/>
                <w:color w:val="000000"/>
                <w:spacing w:val="-3"/>
                <w:sz w:val="21"/>
                <w:szCs w:val="21"/>
                <w:highlight w:val="none"/>
                <w:lang w:eastAsia="zh-CN"/>
              </w:rPr>
              <w:t>（</w:t>
            </w:r>
            <w:r>
              <w:rPr>
                <w:rFonts w:hint="eastAsia"/>
                <w:color w:val="000000"/>
                <w:spacing w:val="-3"/>
                <w:sz w:val="21"/>
                <w:szCs w:val="21"/>
                <w:highlight w:val="none"/>
                <w:lang w:val="en-US" w:eastAsia="zh-CN"/>
              </w:rPr>
              <w:t>4</w:t>
            </w:r>
            <w:r>
              <w:rPr>
                <w:rFonts w:hint="eastAsia"/>
                <w:color w:val="000000"/>
                <w:spacing w:val="-3"/>
                <w:sz w:val="21"/>
                <w:szCs w:val="21"/>
                <w:highlight w:val="none"/>
                <w:lang w:eastAsia="zh-CN"/>
              </w:rPr>
              <w:t>）</w:t>
            </w:r>
            <w:r>
              <w:rPr>
                <w:color w:val="000000"/>
                <w:spacing w:val="-3"/>
                <w:sz w:val="21"/>
                <w:szCs w:val="21"/>
                <w:highlight w:val="none"/>
              </w:rPr>
              <w:t>如果分项报价中存在缺漏项，则视为缺漏项价格已包含在其他分项报价之中。</w:t>
            </w:r>
          </w:p>
        </w:tc>
      </w:tr>
    </w:tbl>
    <w:p>
      <w:pPr>
        <w:spacing w:line="360" w:lineRule="auto"/>
        <w:ind w:firstLine="420" w:firstLineChars="200"/>
        <w:rPr>
          <w:rFonts w:hint="eastAsia" w:ascii="宋体" w:hAnsi="宋体"/>
          <w:color w:val="000000"/>
          <w:sz w:val="21"/>
          <w:szCs w:val="21"/>
          <w:highlight w:val="none"/>
        </w:rPr>
      </w:pP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3.3技术标评审内容及标准（</w:t>
      </w:r>
      <w:r>
        <w:rPr>
          <w:rFonts w:hint="eastAsia" w:ascii="宋体" w:hAnsi="宋体"/>
          <w:color w:val="000000"/>
          <w:sz w:val="21"/>
          <w:szCs w:val="21"/>
          <w:highlight w:val="none"/>
          <w:u w:val="single"/>
        </w:rPr>
        <w:t xml:space="preserve"> </w:t>
      </w:r>
      <w:r>
        <w:rPr>
          <w:rFonts w:hint="eastAsia"/>
          <w:color w:val="000000"/>
          <w:sz w:val="21"/>
          <w:szCs w:val="21"/>
          <w:highlight w:val="none"/>
          <w:u w:val="single"/>
          <w:lang w:val="en-US" w:eastAsia="zh-CN"/>
        </w:rPr>
        <w:t xml:space="preserve">64 </w:t>
      </w:r>
      <w:r>
        <w:rPr>
          <w:rFonts w:hint="eastAsia" w:ascii="宋体" w:hAnsi="宋体"/>
          <w:color w:val="000000"/>
          <w:sz w:val="21"/>
          <w:szCs w:val="21"/>
          <w:highlight w:val="none"/>
        </w:rPr>
        <w:t>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以下评审内容及标准仅供参考，</w:t>
      </w:r>
      <w:r>
        <w:rPr>
          <w:rFonts w:hint="eastAsia"/>
          <w:color w:val="000000"/>
          <w:sz w:val="21"/>
          <w:szCs w:val="21"/>
          <w:highlight w:val="none"/>
          <w:lang w:eastAsia="zh-CN"/>
        </w:rPr>
        <w:t>招标人</w:t>
      </w:r>
      <w:r>
        <w:rPr>
          <w:rFonts w:hint="eastAsia" w:ascii="宋体" w:hAnsi="宋体"/>
          <w:color w:val="000000"/>
          <w:sz w:val="21"/>
          <w:szCs w:val="21"/>
          <w:highlight w:val="none"/>
        </w:rPr>
        <w:t>和代理机构可自行调整或修改以下评审内容。</w:t>
      </w:r>
    </w:p>
    <w:tbl>
      <w:tblPr>
        <w:tblStyle w:val="8"/>
        <w:tblW w:w="9333"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007"/>
        <w:gridCol w:w="792"/>
        <w:gridCol w:w="7534"/>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00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spacing w:val="7"/>
                <w:position w:val="7"/>
                <w:sz w:val="21"/>
                <w:szCs w:val="21"/>
              </w:rPr>
            </w:pPr>
            <w:r>
              <w:rPr>
                <w:rFonts w:hint="eastAsia" w:ascii="宋体" w:hAnsi="宋体" w:eastAsia="宋体" w:cs="宋体"/>
                <w:spacing w:val="7"/>
                <w:position w:val="7"/>
                <w:sz w:val="21"/>
                <w:szCs w:val="21"/>
              </w:rPr>
              <w:t>评审内容</w:t>
            </w:r>
          </w:p>
        </w:tc>
        <w:tc>
          <w:tcPr>
            <w:tcW w:w="792"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spacing w:val="7"/>
                <w:position w:val="7"/>
                <w:sz w:val="21"/>
                <w:szCs w:val="21"/>
              </w:rPr>
            </w:pPr>
            <w:r>
              <w:rPr>
                <w:rFonts w:hint="eastAsia" w:ascii="宋体" w:hAnsi="宋体" w:eastAsia="宋体" w:cs="宋体"/>
                <w:spacing w:val="7"/>
                <w:position w:val="7"/>
                <w:sz w:val="21"/>
                <w:szCs w:val="21"/>
              </w:rPr>
              <w:t>分值</w:t>
            </w:r>
          </w:p>
        </w:tc>
        <w:tc>
          <w:tcPr>
            <w:tcW w:w="7534"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spacing w:val="7"/>
                <w:position w:val="7"/>
                <w:sz w:val="21"/>
                <w:szCs w:val="21"/>
              </w:rPr>
            </w:pPr>
            <w:r>
              <w:rPr>
                <w:rFonts w:hint="eastAsia" w:ascii="宋体" w:hAnsi="宋体" w:eastAsia="宋体" w:cs="宋体"/>
                <w:spacing w:val="7"/>
                <w:position w:val="7"/>
                <w:sz w:val="21"/>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1" w:hRule="atLeast"/>
          <w:jc w:val="center"/>
        </w:trPr>
        <w:tc>
          <w:tcPr>
            <w:tcW w:w="1007" w:type="dxa"/>
            <w:tcBorders>
              <w:top w:val="single" w:color="auto" w:sz="4"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spacing w:val="7"/>
                <w:position w:val="7"/>
                <w:sz w:val="21"/>
                <w:szCs w:val="21"/>
              </w:rPr>
            </w:pPr>
            <w:r>
              <w:rPr>
                <w:rFonts w:hint="eastAsia" w:ascii="宋体" w:hAnsi="宋体" w:eastAsia="宋体" w:cs="宋体"/>
                <w:spacing w:val="7"/>
                <w:position w:val="7"/>
                <w:sz w:val="21"/>
                <w:szCs w:val="21"/>
              </w:rPr>
              <w:t>其他技术参数</w:t>
            </w:r>
          </w:p>
        </w:tc>
        <w:tc>
          <w:tcPr>
            <w:tcW w:w="792" w:type="dxa"/>
            <w:tcBorders>
              <w:top w:val="single" w:color="auto" w:sz="4"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spacing w:val="7"/>
                <w:position w:val="7"/>
                <w:sz w:val="21"/>
                <w:szCs w:val="21"/>
              </w:rPr>
            </w:pPr>
            <w:r>
              <w:rPr>
                <w:rFonts w:hint="eastAsia" w:ascii="宋体" w:hAnsi="宋体" w:eastAsia="宋体" w:cs="宋体"/>
                <w:spacing w:val="7"/>
                <w:position w:val="7"/>
                <w:sz w:val="21"/>
                <w:szCs w:val="21"/>
              </w:rPr>
              <w:t xml:space="preserve"> </w:t>
            </w:r>
            <w:r>
              <w:rPr>
                <w:rFonts w:hint="eastAsia" w:ascii="宋体" w:hAnsi="宋体" w:eastAsia="宋体" w:cs="宋体"/>
                <w:spacing w:val="7"/>
                <w:position w:val="7"/>
                <w:sz w:val="21"/>
                <w:szCs w:val="21"/>
                <w:lang w:val="en-US" w:eastAsia="zh-CN"/>
              </w:rPr>
              <w:t>11</w:t>
            </w:r>
            <w:r>
              <w:rPr>
                <w:rFonts w:hint="eastAsia" w:ascii="宋体" w:hAnsi="宋体" w:eastAsia="宋体" w:cs="宋体"/>
                <w:spacing w:val="7"/>
                <w:position w:val="7"/>
                <w:sz w:val="21"/>
                <w:szCs w:val="21"/>
              </w:rPr>
              <w:t>分</w:t>
            </w:r>
          </w:p>
        </w:tc>
        <w:tc>
          <w:tcPr>
            <w:tcW w:w="7534" w:type="dxa"/>
            <w:tcBorders>
              <w:top w:val="single" w:color="auto" w:sz="4" w:space="0"/>
              <w:left w:val="outset" w:color="auto" w:sz="6" w:space="0"/>
              <w:bottom w:val="outset" w:color="auto" w:sz="6" w:space="0"/>
              <w:right w:val="outset" w:color="auto" w:sz="6" w:space="0"/>
            </w:tcBorders>
            <w:noWrap w:val="0"/>
            <w:vAlign w:val="center"/>
          </w:tcPr>
          <w:p>
            <w:pPr>
              <w:pStyle w:val="13"/>
              <w:spacing w:before="63" w:line="312" w:lineRule="exact"/>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根据投标文件与招标文件要求的其它技术参数（未标记“◆”和“*”的技术参数）偏离情况进行评分。</w:t>
            </w:r>
          </w:p>
          <w:p>
            <w:pPr>
              <w:pStyle w:val="13"/>
              <w:spacing w:before="63" w:line="312" w:lineRule="exact"/>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各项性能指标全部满足招标文件要求的得满分；与招标文件要求有非实质性负偏离的（以投标文件技术规格偏离表载明的为准），有一项扣</w:t>
            </w:r>
            <w:r>
              <w:rPr>
                <w:rFonts w:hint="eastAsia" w:ascii="宋体" w:hAnsi="宋体" w:eastAsia="宋体" w:cs="宋体"/>
                <w:spacing w:val="7"/>
                <w:position w:val="7"/>
                <w:sz w:val="21"/>
                <w:szCs w:val="21"/>
                <w:lang w:val="en-US" w:eastAsia="zh-CN"/>
              </w:rPr>
              <w:t>0.5</w:t>
            </w:r>
            <w:r>
              <w:rPr>
                <w:rFonts w:hint="eastAsia" w:ascii="宋体" w:hAnsi="宋体" w:eastAsia="宋体" w:cs="宋体"/>
                <w:spacing w:val="7"/>
                <w:position w:val="7"/>
                <w:sz w:val="21"/>
                <w:szCs w:val="21"/>
                <w:lang w:eastAsia="zh-CN"/>
              </w:rPr>
              <w:t>分，</w:t>
            </w:r>
            <w:r>
              <w:rPr>
                <w:rFonts w:hint="eastAsia" w:ascii="宋体" w:hAnsi="宋体" w:eastAsia="宋体" w:cs="宋体"/>
                <w:spacing w:val="7"/>
                <w:position w:val="7"/>
                <w:sz w:val="21"/>
                <w:szCs w:val="21"/>
                <w:lang w:val="en-US" w:eastAsia="zh-CN"/>
              </w:rPr>
              <w:t>共22项，扣完11分为止</w:t>
            </w:r>
            <w:r>
              <w:rPr>
                <w:rFonts w:hint="eastAsia" w:ascii="宋体" w:hAnsi="宋体" w:eastAsia="宋体" w:cs="宋体"/>
                <w:spacing w:val="7"/>
                <w:position w:val="7"/>
                <w:sz w:val="21"/>
                <w:szCs w:val="21"/>
                <w:lang w:eastAsia="zh-CN"/>
              </w:rPr>
              <w:t>。（同一项参数不重复扣分）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1" w:hRule="atLeast"/>
          <w:jc w:val="center"/>
        </w:trPr>
        <w:tc>
          <w:tcPr>
            <w:tcW w:w="1007" w:type="dxa"/>
            <w:tcBorders>
              <w:top w:val="single" w:color="auto" w:sz="4" w:space="0"/>
              <w:left w:val="outset" w:color="auto" w:sz="6" w:space="0"/>
              <w:bottom w:val="outset" w:color="auto" w:sz="6" w:space="0"/>
              <w:right w:val="outset" w:color="auto" w:sz="6" w:space="0"/>
            </w:tcBorders>
            <w:noWrap w:val="0"/>
            <w:vAlign w:val="top"/>
          </w:tcPr>
          <w:p>
            <w:pPr>
              <w:pStyle w:val="13"/>
              <w:spacing w:before="65" w:line="269" w:lineRule="auto"/>
              <w:ind w:right="17"/>
              <w:rPr>
                <w:rFonts w:hint="eastAsia" w:ascii="宋体" w:hAnsi="宋体" w:eastAsia="宋体" w:cs="宋体"/>
                <w:spacing w:val="7"/>
                <w:position w:val="7"/>
                <w:sz w:val="21"/>
                <w:szCs w:val="21"/>
                <w:lang w:eastAsia="zh-CN"/>
              </w:rPr>
            </w:pPr>
          </w:p>
          <w:p>
            <w:pPr>
              <w:pStyle w:val="13"/>
              <w:spacing w:before="65" w:line="269" w:lineRule="auto"/>
              <w:ind w:righ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投标产品的安全性及保障措施方案</w:t>
            </w:r>
          </w:p>
        </w:tc>
        <w:tc>
          <w:tcPr>
            <w:tcW w:w="792" w:type="dxa"/>
            <w:tcBorders>
              <w:top w:val="single" w:color="auto" w:sz="4" w:space="0"/>
              <w:left w:val="outset" w:color="auto" w:sz="6" w:space="0"/>
              <w:bottom w:val="outset" w:color="auto" w:sz="6" w:space="0"/>
              <w:right w:val="outset" w:color="auto" w:sz="6" w:space="0"/>
            </w:tcBorders>
            <w:noWrap w:val="0"/>
            <w:vAlign w:val="top"/>
          </w:tcPr>
          <w:p>
            <w:pPr>
              <w:jc w:val="center"/>
              <w:rPr>
                <w:rFonts w:hint="eastAsia" w:ascii="宋体" w:hAnsi="宋体" w:eastAsia="宋体" w:cs="宋体"/>
                <w:spacing w:val="7"/>
                <w:position w:val="7"/>
                <w:sz w:val="21"/>
                <w:szCs w:val="21"/>
              </w:rPr>
            </w:pPr>
          </w:p>
          <w:p>
            <w:pPr>
              <w:jc w:val="center"/>
              <w:rPr>
                <w:rFonts w:hint="eastAsia" w:ascii="宋体" w:hAnsi="宋体" w:eastAsia="宋体" w:cs="宋体"/>
                <w:spacing w:val="7"/>
                <w:position w:val="7"/>
                <w:sz w:val="21"/>
                <w:szCs w:val="21"/>
              </w:rPr>
            </w:pPr>
          </w:p>
          <w:p>
            <w:pPr>
              <w:jc w:val="center"/>
              <w:rPr>
                <w:rFonts w:hint="eastAsia" w:ascii="宋体" w:hAnsi="宋体" w:eastAsia="宋体" w:cs="宋体"/>
                <w:spacing w:val="7"/>
                <w:position w:val="7"/>
                <w:sz w:val="21"/>
                <w:szCs w:val="21"/>
              </w:rPr>
            </w:pPr>
          </w:p>
          <w:p>
            <w:pPr>
              <w:jc w:val="center"/>
              <w:rPr>
                <w:rFonts w:hint="eastAsia" w:ascii="宋体" w:hAnsi="宋体" w:eastAsia="宋体" w:cs="宋体"/>
                <w:spacing w:val="7"/>
                <w:position w:val="7"/>
                <w:sz w:val="21"/>
                <w:szCs w:val="21"/>
              </w:rPr>
            </w:pPr>
            <w:r>
              <w:rPr>
                <w:rFonts w:hint="eastAsia" w:cs="宋体"/>
                <w:spacing w:val="7"/>
                <w:position w:val="7"/>
                <w:sz w:val="21"/>
                <w:szCs w:val="21"/>
                <w:lang w:val="en-US" w:eastAsia="zh-CN"/>
              </w:rPr>
              <w:t>8</w:t>
            </w:r>
            <w:r>
              <w:rPr>
                <w:rFonts w:hint="eastAsia" w:ascii="宋体" w:hAnsi="宋体" w:eastAsia="宋体" w:cs="宋体"/>
                <w:spacing w:val="7"/>
                <w:position w:val="7"/>
                <w:sz w:val="21"/>
                <w:szCs w:val="21"/>
              </w:rPr>
              <w:t>分</w:t>
            </w:r>
          </w:p>
        </w:tc>
        <w:tc>
          <w:tcPr>
            <w:tcW w:w="7534" w:type="dxa"/>
            <w:tcBorders>
              <w:top w:val="single" w:color="auto" w:sz="4" w:space="0"/>
              <w:left w:val="outset" w:color="auto" w:sz="6" w:space="0"/>
              <w:bottom w:val="outset" w:color="auto" w:sz="6" w:space="0"/>
              <w:right w:val="outset" w:color="auto" w:sz="6" w:space="0"/>
            </w:tcBorders>
            <w:noWrap w:val="0"/>
            <w:vAlign w:val="top"/>
          </w:tcPr>
          <w:p>
            <w:pPr>
              <w:pStyle w:val="13"/>
              <w:spacing w:before="50" w:line="259" w:lineRule="auto"/>
              <w:ind w:left="14" w:right="92"/>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评标委员会对产品安全性（产品使用安全） 、保障措施进行审查。</w:t>
            </w:r>
          </w:p>
          <w:p>
            <w:pPr>
              <w:pStyle w:val="13"/>
              <w:numPr>
                <w:ilvl w:val="0"/>
                <w:numId w:val="1"/>
              </w:numPr>
              <w:spacing w:before="62" w:line="259" w:lineRule="auto"/>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方案内容完整、具体，内容能符合本项目要求且有优化建议的，得</w:t>
            </w:r>
            <w:r>
              <w:rPr>
                <w:rFonts w:hint="eastAsia" w:ascii="宋体" w:hAnsi="宋体" w:eastAsia="宋体" w:cs="宋体"/>
                <w:spacing w:val="7"/>
                <w:position w:val="7"/>
                <w:sz w:val="21"/>
                <w:szCs w:val="21"/>
                <w:lang w:val="en-US" w:eastAsia="zh-CN"/>
              </w:rPr>
              <w:t>8</w:t>
            </w:r>
            <w:r>
              <w:rPr>
                <w:rFonts w:hint="eastAsia" w:ascii="宋体" w:hAnsi="宋体" w:eastAsia="宋体" w:cs="宋体"/>
                <w:spacing w:val="7"/>
                <w:position w:val="7"/>
                <w:sz w:val="21"/>
                <w:szCs w:val="21"/>
                <w:lang w:eastAsia="zh-CN"/>
              </w:rPr>
              <w:t xml:space="preserve">分； </w:t>
            </w:r>
          </w:p>
          <w:p>
            <w:pPr>
              <w:pStyle w:val="13"/>
              <w:spacing w:before="62" w:line="259" w:lineRule="auto"/>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（2）方案内容完整， 内容能符合本项目要求的，得</w:t>
            </w:r>
            <w:r>
              <w:rPr>
                <w:rFonts w:hint="eastAsia" w:ascii="宋体" w:hAnsi="宋体" w:eastAsia="宋体" w:cs="宋体"/>
                <w:spacing w:val="7"/>
                <w:position w:val="7"/>
                <w:sz w:val="21"/>
                <w:szCs w:val="21"/>
                <w:lang w:val="en-US" w:eastAsia="zh-CN"/>
              </w:rPr>
              <w:t>5</w:t>
            </w:r>
            <w:r>
              <w:rPr>
                <w:rFonts w:hint="eastAsia" w:ascii="宋体" w:hAnsi="宋体" w:eastAsia="宋体" w:cs="宋体"/>
                <w:spacing w:val="7"/>
                <w:position w:val="7"/>
                <w:sz w:val="21"/>
                <w:szCs w:val="21"/>
                <w:lang w:eastAsia="zh-CN"/>
              </w:rPr>
              <w:t>分；</w:t>
            </w:r>
          </w:p>
          <w:p>
            <w:pPr>
              <w:pStyle w:val="13"/>
              <w:spacing w:before="63" w:line="312" w:lineRule="exact"/>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（3）方案内容完整，细节需要完善的，得</w:t>
            </w:r>
            <w:r>
              <w:rPr>
                <w:rFonts w:hint="eastAsia" w:ascii="宋体" w:hAnsi="宋体" w:eastAsia="宋体" w:cs="宋体"/>
                <w:spacing w:val="7"/>
                <w:position w:val="7"/>
                <w:sz w:val="21"/>
                <w:szCs w:val="21"/>
                <w:lang w:val="en-US" w:eastAsia="zh-CN"/>
              </w:rPr>
              <w:t>2</w:t>
            </w:r>
            <w:r>
              <w:rPr>
                <w:rFonts w:hint="eastAsia" w:ascii="宋体" w:hAnsi="宋体" w:eastAsia="宋体" w:cs="宋体"/>
                <w:spacing w:val="7"/>
                <w:position w:val="7"/>
                <w:sz w:val="21"/>
                <w:szCs w:val="21"/>
                <w:lang w:eastAsia="zh-CN"/>
              </w:rPr>
              <w:t>分；</w:t>
            </w:r>
          </w:p>
          <w:p>
            <w:pPr>
              <w:pStyle w:val="13"/>
              <w:spacing w:before="1" w:line="227" w:lineRule="auto"/>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（4）其它或未提供存在明显缺陷的，不得分。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1" w:hRule="atLeast"/>
          <w:jc w:val="center"/>
        </w:trPr>
        <w:tc>
          <w:tcPr>
            <w:tcW w:w="1007" w:type="dxa"/>
            <w:tcBorders>
              <w:top w:val="single" w:color="auto" w:sz="4" w:space="0"/>
              <w:left w:val="outset" w:color="auto" w:sz="6" w:space="0"/>
              <w:bottom w:val="outset" w:color="auto" w:sz="6" w:space="0"/>
              <w:right w:val="outset" w:color="auto" w:sz="6" w:space="0"/>
            </w:tcBorders>
            <w:noWrap w:val="0"/>
            <w:vAlign w:val="top"/>
          </w:tcPr>
          <w:p>
            <w:pPr>
              <w:pStyle w:val="13"/>
              <w:spacing w:before="65" w:line="269" w:lineRule="auto"/>
              <w:ind w:righ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val="en-US" w:eastAsia="zh-CN"/>
              </w:rPr>
              <w:t>产品制造工艺</w:t>
            </w:r>
          </w:p>
          <w:p>
            <w:pPr>
              <w:pStyle w:val="13"/>
              <w:spacing w:before="65" w:line="269" w:lineRule="auto"/>
              <w:ind w:right="17"/>
              <w:rPr>
                <w:rFonts w:hint="eastAsia" w:ascii="宋体" w:hAnsi="宋体" w:eastAsia="宋体" w:cs="宋体"/>
                <w:spacing w:val="7"/>
                <w:position w:val="7"/>
                <w:sz w:val="21"/>
                <w:szCs w:val="21"/>
                <w:lang w:eastAsia="zh-CN"/>
              </w:rPr>
            </w:pPr>
          </w:p>
        </w:tc>
        <w:tc>
          <w:tcPr>
            <w:tcW w:w="792" w:type="dxa"/>
            <w:tcBorders>
              <w:top w:val="single" w:color="auto" w:sz="4" w:space="0"/>
              <w:left w:val="outset" w:color="auto" w:sz="6" w:space="0"/>
              <w:bottom w:val="outset" w:color="auto" w:sz="6" w:space="0"/>
              <w:right w:val="outset" w:color="auto" w:sz="6" w:space="0"/>
            </w:tcBorders>
            <w:noWrap w:val="0"/>
            <w:vAlign w:val="top"/>
          </w:tcPr>
          <w:p>
            <w:pPr>
              <w:jc w:val="center"/>
              <w:rPr>
                <w:rFonts w:hint="eastAsia" w:ascii="宋体" w:hAnsi="宋体" w:eastAsia="宋体" w:cs="宋体"/>
                <w:spacing w:val="7"/>
                <w:position w:val="7"/>
                <w:sz w:val="21"/>
                <w:szCs w:val="21"/>
                <w:lang w:val="en-US" w:eastAsia="zh-CN"/>
              </w:rPr>
            </w:pPr>
            <w:r>
              <w:rPr>
                <w:rFonts w:hint="eastAsia" w:cs="宋体"/>
                <w:spacing w:val="7"/>
                <w:position w:val="7"/>
                <w:sz w:val="21"/>
                <w:szCs w:val="21"/>
                <w:lang w:val="en-US" w:eastAsia="zh-CN"/>
              </w:rPr>
              <w:t>8</w:t>
            </w:r>
            <w:r>
              <w:rPr>
                <w:rFonts w:hint="eastAsia" w:ascii="宋体" w:hAnsi="宋体" w:eastAsia="宋体" w:cs="宋体"/>
                <w:spacing w:val="7"/>
                <w:position w:val="7"/>
                <w:sz w:val="21"/>
                <w:szCs w:val="21"/>
                <w:lang w:val="en-US" w:eastAsia="zh-CN"/>
              </w:rPr>
              <w:t>分</w:t>
            </w:r>
          </w:p>
        </w:tc>
        <w:tc>
          <w:tcPr>
            <w:tcW w:w="7534" w:type="dxa"/>
            <w:tcBorders>
              <w:top w:val="single" w:color="auto" w:sz="4" w:space="0"/>
              <w:left w:val="outset" w:color="auto" w:sz="6" w:space="0"/>
              <w:bottom w:val="outset" w:color="auto" w:sz="6" w:space="0"/>
              <w:right w:val="outset" w:color="auto" w:sz="6" w:space="0"/>
            </w:tcBorders>
            <w:noWrap w:val="0"/>
            <w:vAlign w:val="top"/>
          </w:tcPr>
          <w:p>
            <w:pPr>
              <w:pStyle w:val="13"/>
              <w:spacing w:before="1" w:line="227" w:lineRule="auto"/>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val="en-US" w:eastAsia="zh-CN"/>
              </w:rPr>
              <w:t xml:space="preserve">根据投标产品的生产制造工艺情况，包括生产过程控制、生产工艺、 </w:t>
            </w:r>
          </w:p>
          <w:p>
            <w:pPr>
              <w:pStyle w:val="13"/>
              <w:spacing w:before="1" w:line="227" w:lineRule="auto"/>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val="en-US" w:eastAsia="zh-CN"/>
              </w:rPr>
              <w:t xml:space="preserve">质量管理的情况，制造装备的配备等内容进行评审。 </w:t>
            </w:r>
          </w:p>
          <w:p>
            <w:pPr>
              <w:pStyle w:val="13"/>
              <w:spacing w:before="1" w:line="227" w:lineRule="auto"/>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val="en-US" w:eastAsia="zh-CN"/>
              </w:rPr>
              <w:t xml:space="preserve">（1）有详细完整的质量及工艺管理方案的，针对性强，得8分； </w:t>
            </w:r>
          </w:p>
          <w:p>
            <w:pPr>
              <w:pStyle w:val="13"/>
              <w:spacing w:before="1" w:line="227" w:lineRule="auto"/>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val="en-US" w:eastAsia="zh-CN"/>
              </w:rPr>
              <w:t xml:space="preserve">（2）有完整的质量及工艺管理方案，具有针对性，得5分； </w:t>
            </w:r>
          </w:p>
          <w:p>
            <w:pPr>
              <w:pStyle w:val="13"/>
              <w:spacing w:before="1" w:line="227" w:lineRule="auto"/>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val="en-US" w:eastAsia="zh-CN"/>
              </w:rPr>
              <w:t xml:space="preserve">（3）质量及工艺管理方案有待提升，针对性有待改善，得2分； </w:t>
            </w:r>
          </w:p>
          <w:p>
            <w:pPr>
              <w:pStyle w:val="13"/>
              <w:spacing w:before="1" w:line="227" w:lineRule="auto"/>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val="en-US" w:eastAsia="zh-CN"/>
              </w:rPr>
              <w:t>（4）产品制造工艺不合理或者未提供得 0 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1" w:hRule="atLeast"/>
          <w:jc w:val="center"/>
        </w:trPr>
        <w:tc>
          <w:tcPr>
            <w:tcW w:w="1007" w:type="dxa"/>
            <w:tcBorders>
              <w:top w:val="single" w:color="auto" w:sz="4"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leftChars="0" w:right="0" w:rightChars="0"/>
              <w:jc w:val="left"/>
              <w:rPr>
                <w:rFonts w:hint="eastAsia" w:ascii="宋体" w:hAnsi="宋体" w:eastAsia="宋体" w:cs="宋体"/>
                <w:spacing w:val="7"/>
                <w:position w:val="7"/>
                <w:sz w:val="21"/>
                <w:szCs w:val="21"/>
                <w:lang w:eastAsia="zh-CN"/>
              </w:rPr>
            </w:pPr>
            <w:r>
              <w:rPr>
                <w:rFonts w:hint="eastAsia" w:ascii="宋体" w:hAnsi="宋体" w:eastAsia="宋体" w:cs="宋体"/>
                <w:color w:val="000000"/>
                <w:kern w:val="0"/>
                <w:sz w:val="20"/>
                <w:szCs w:val="20"/>
                <w:lang w:val="en-US" w:eastAsia="zh-CN" w:bidi="ar"/>
              </w:rPr>
              <w:t>使用成本</w:t>
            </w:r>
          </w:p>
        </w:tc>
        <w:tc>
          <w:tcPr>
            <w:tcW w:w="792" w:type="dxa"/>
            <w:tcBorders>
              <w:top w:val="single" w:color="auto" w:sz="4" w:space="0"/>
              <w:left w:val="outset" w:color="auto" w:sz="6" w:space="0"/>
              <w:bottom w:val="outset" w:color="auto" w:sz="6" w:space="0"/>
              <w:right w:val="outset" w:color="auto" w:sz="6" w:space="0"/>
            </w:tcBorders>
            <w:noWrap w:val="0"/>
            <w:vAlign w:val="center"/>
          </w:tcPr>
          <w:p>
            <w:pPr>
              <w:ind w:left="0" w:leftChars="0" w:right="0" w:rightChars="0"/>
              <w:jc w:val="center"/>
              <w:rPr>
                <w:rFonts w:hint="eastAsia" w:ascii="宋体" w:hAnsi="宋体" w:eastAsia="宋体" w:cs="宋体"/>
                <w:spacing w:val="7"/>
                <w:position w:val="7"/>
                <w:sz w:val="21"/>
                <w:szCs w:val="21"/>
              </w:rPr>
            </w:pPr>
            <w:r>
              <w:rPr>
                <w:rFonts w:hint="eastAsia" w:ascii="宋体" w:hAnsi="宋体" w:eastAsia="宋体" w:cs="宋体"/>
                <w:lang w:val="en-US" w:eastAsia="zh-CN"/>
              </w:rPr>
              <w:t>6分</w:t>
            </w:r>
          </w:p>
        </w:tc>
        <w:tc>
          <w:tcPr>
            <w:tcW w:w="7534" w:type="dxa"/>
            <w:tcBorders>
              <w:top w:val="single" w:color="auto" w:sz="4" w:space="0"/>
              <w:left w:val="outset" w:color="auto" w:sz="6" w:space="0"/>
              <w:bottom w:val="outset" w:color="auto" w:sz="6" w:space="0"/>
              <w:right w:val="outset" w:color="auto" w:sz="6" w:space="0"/>
            </w:tcBorders>
            <w:noWrap w:val="0"/>
            <w:vAlign w:val="center"/>
          </w:tcPr>
          <w:p>
            <w:pPr>
              <w:widowControl/>
              <w:jc w:val="left"/>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有</w:t>
            </w:r>
            <w:r>
              <w:rPr>
                <w:rFonts w:hint="eastAsia" w:ascii="宋体" w:hAnsi="宋体" w:eastAsia="宋体" w:cs="宋体"/>
                <w:color w:val="000000"/>
                <w:kern w:val="0"/>
              </w:rPr>
              <w:t>针对性的使用成本方案，方案应包括维修费用</w:t>
            </w:r>
            <w:r>
              <w:rPr>
                <w:rFonts w:hint="eastAsia" w:ascii="宋体" w:hAnsi="宋体" w:eastAsia="宋体" w:cs="宋体"/>
                <w:color w:val="000000"/>
                <w:kern w:val="0"/>
                <w:lang w:val="en-US" w:eastAsia="zh-CN"/>
              </w:rPr>
              <w:t>结</w:t>
            </w:r>
            <w:r>
              <w:rPr>
                <w:rFonts w:hint="eastAsia" w:ascii="宋体" w:hAnsi="宋体" w:eastAsia="宋体" w:cs="宋体"/>
                <w:color w:val="000000"/>
                <w:kern w:val="0"/>
              </w:rPr>
              <w:t>算、应急替换等其他有利于用户的服务</w:t>
            </w:r>
            <w:r>
              <w:rPr>
                <w:rFonts w:hint="eastAsia" w:ascii="宋体" w:hAnsi="宋体" w:eastAsia="宋体" w:cs="宋体"/>
                <w:color w:val="000000"/>
                <w:kern w:val="0"/>
                <w:lang w:eastAsia="zh-CN"/>
              </w:rPr>
              <w:t>，</w:t>
            </w:r>
            <w:r>
              <w:rPr>
                <w:rFonts w:hint="eastAsia" w:ascii="宋体" w:hAnsi="宋体" w:eastAsia="宋体" w:cs="宋体"/>
                <w:color w:val="000000"/>
                <w:kern w:val="0"/>
                <w:sz w:val="20"/>
                <w:szCs w:val="20"/>
              </w:rPr>
              <w:t>评标委员会对提供的内容进行综合评审：</w:t>
            </w:r>
          </w:p>
          <w:p>
            <w:pPr>
              <w:pStyle w:val="5"/>
              <w:rPr>
                <w:rFonts w:hint="eastAsia" w:ascii="宋体" w:hAnsi="宋体" w:eastAsia="宋体" w:cs="宋体"/>
              </w:rPr>
            </w:pPr>
            <w:r>
              <w:rPr>
                <w:rFonts w:hint="eastAsia" w:ascii="宋体" w:hAnsi="宋体" w:eastAsia="宋体" w:cs="宋体"/>
              </w:rPr>
              <w:t>1、根据项目量身定制，方案内容充分、完善的，得6分；</w:t>
            </w:r>
          </w:p>
          <w:p>
            <w:pPr>
              <w:pStyle w:val="5"/>
              <w:rPr>
                <w:rFonts w:hint="eastAsia" w:ascii="宋体" w:hAnsi="宋体" w:eastAsia="宋体" w:cs="宋体"/>
              </w:rPr>
            </w:pPr>
            <w:r>
              <w:rPr>
                <w:rFonts w:hint="eastAsia" w:ascii="宋体" w:hAnsi="宋体" w:eastAsia="宋体" w:cs="宋体"/>
              </w:rPr>
              <w:t>2、方案内容简单但能满足项目大部分</w:t>
            </w:r>
            <w:r>
              <w:rPr>
                <w:rFonts w:hint="eastAsia" w:ascii="宋体" w:hAnsi="宋体" w:eastAsia="宋体" w:cs="宋体"/>
                <w:lang w:val="en-US" w:eastAsia="zh-CN"/>
              </w:rPr>
              <w:t>使用成本</w:t>
            </w:r>
            <w:r>
              <w:rPr>
                <w:rFonts w:hint="eastAsia" w:ascii="宋体" w:hAnsi="宋体" w:eastAsia="宋体" w:cs="宋体"/>
              </w:rPr>
              <w:t>要求的，得4分；</w:t>
            </w:r>
          </w:p>
          <w:p>
            <w:pPr>
              <w:pStyle w:val="5"/>
              <w:rPr>
                <w:rFonts w:hint="eastAsia" w:ascii="宋体" w:hAnsi="宋体" w:eastAsia="宋体" w:cs="宋体"/>
              </w:rPr>
            </w:pPr>
            <w:r>
              <w:rPr>
                <w:rFonts w:hint="eastAsia" w:ascii="宋体" w:hAnsi="宋体" w:eastAsia="宋体" w:cs="宋体"/>
              </w:rPr>
              <w:t>3、方案内容仅部分满足</w:t>
            </w:r>
            <w:r>
              <w:rPr>
                <w:rFonts w:hint="eastAsia" w:ascii="宋体" w:hAnsi="宋体" w:eastAsia="宋体" w:cs="宋体"/>
                <w:lang w:val="en-US" w:eastAsia="zh-CN"/>
              </w:rPr>
              <w:t>使用成本</w:t>
            </w:r>
            <w:r>
              <w:rPr>
                <w:rFonts w:hint="eastAsia" w:ascii="宋体" w:hAnsi="宋体" w:eastAsia="宋体" w:cs="宋体"/>
              </w:rPr>
              <w:t>要求，得2分；</w:t>
            </w:r>
          </w:p>
          <w:p>
            <w:pPr>
              <w:widowControl/>
              <w:ind w:left="0" w:leftChars="0" w:right="0" w:rightChars="0"/>
              <w:jc w:val="left"/>
              <w:rPr>
                <w:rFonts w:hint="eastAsia" w:ascii="宋体" w:hAnsi="宋体" w:eastAsia="宋体" w:cs="宋体"/>
                <w:spacing w:val="7"/>
                <w:position w:val="7"/>
                <w:sz w:val="21"/>
                <w:szCs w:val="21"/>
                <w:lang w:eastAsia="zh-CN"/>
              </w:rPr>
            </w:pPr>
            <w:r>
              <w:rPr>
                <w:rFonts w:hint="eastAsia" w:ascii="宋体" w:hAnsi="宋体" w:eastAsia="宋体" w:cs="宋体"/>
              </w:rPr>
              <w:t>4、其他情况或未提供相关内容的不得分。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1" w:hRule="atLeast"/>
          <w:jc w:val="center"/>
        </w:trPr>
        <w:tc>
          <w:tcPr>
            <w:tcW w:w="1007" w:type="dxa"/>
            <w:tcBorders>
              <w:top w:val="single" w:color="auto" w:sz="4" w:space="0"/>
              <w:left w:val="outset" w:color="auto" w:sz="6" w:space="0"/>
              <w:bottom w:val="outset" w:color="auto" w:sz="6" w:space="0"/>
              <w:right w:val="outset" w:color="auto" w:sz="6" w:space="0"/>
            </w:tcBorders>
            <w:noWrap w:val="0"/>
            <w:vAlign w:val="center"/>
          </w:tcPr>
          <w:p>
            <w:pPr>
              <w:ind w:left="0" w:leftChars="0" w:right="0" w:rightChars="0"/>
              <w:jc w:val="center"/>
              <w:rPr>
                <w:rFonts w:hint="eastAsia" w:ascii="宋体" w:hAnsi="宋体" w:eastAsia="宋体" w:cs="宋体"/>
                <w:spacing w:val="7"/>
                <w:position w:val="7"/>
                <w:sz w:val="21"/>
                <w:szCs w:val="21"/>
                <w:lang w:val="en-US" w:eastAsia="zh-CN"/>
              </w:rPr>
            </w:pPr>
            <w:r>
              <w:rPr>
                <w:rFonts w:hint="eastAsia" w:ascii="宋体" w:hAnsi="宋体" w:eastAsia="宋体" w:cs="宋体"/>
              </w:rPr>
              <w:t>应急预案</w:t>
            </w:r>
          </w:p>
        </w:tc>
        <w:tc>
          <w:tcPr>
            <w:tcW w:w="792" w:type="dxa"/>
            <w:tcBorders>
              <w:top w:val="single" w:color="auto" w:sz="4" w:space="0"/>
              <w:left w:val="outset" w:color="auto" w:sz="6" w:space="0"/>
              <w:bottom w:val="outset" w:color="auto" w:sz="6" w:space="0"/>
              <w:right w:val="outset" w:color="auto" w:sz="6" w:space="0"/>
            </w:tcBorders>
            <w:noWrap w:val="0"/>
            <w:vAlign w:val="center"/>
          </w:tcPr>
          <w:p>
            <w:pPr>
              <w:ind w:left="0" w:leftChars="0" w:right="0" w:rightChars="0"/>
              <w:jc w:val="center"/>
              <w:rPr>
                <w:rFonts w:hint="eastAsia" w:ascii="宋体" w:hAnsi="宋体" w:eastAsia="宋体" w:cs="宋体"/>
                <w:spacing w:val="7"/>
                <w:position w:val="7"/>
                <w:sz w:val="21"/>
                <w:szCs w:val="21"/>
                <w:lang w:val="en-US" w:eastAsia="zh-CN"/>
              </w:rPr>
            </w:pPr>
            <w:r>
              <w:rPr>
                <w:rFonts w:hint="eastAsia" w:ascii="宋体" w:hAnsi="宋体" w:eastAsia="宋体" w:cs="宋体"/>
              </w:rPr>
              <w:t>6分</w:t>
            </w:r>
          </w:p>
        </w:tc>
        <w:tc>
          <w:tcPr>
            <w:tcW w:w="7534" w:type="dxa"/>
            <w:tcBorders>
              <w:top w:val="single" w:color="auto" w:sz="4" w:space="0"/>
              <w:left w:val="outset" w:color="auto" w:sz="6" w:space="0"/>
              <w:bottom w:val="outset" w:color="auto" w:sz="6" w:space="0"/>
              <w:right w:val="outset" w:color="auto" w:sz="6" w:space="0"/>
            </w:tcBorders>
            <w:noWrap w:val="0"/>
            <w:vAlign w:val="center"/>
          </w:tcPr>
          <w:p>
            <w:pPr>
              <w:jc w:val="left"/>
              <w:rPr>
                <w:rFonts w:hint="eastAsia" w:ascii="宋体" w:hAnsi="宋体" w:eastAsia="宋体" w:cs="宋体"/>
              </w:rPr>
            </w:pPr>
            <w:r>
              <w:rPr>
                <w:rFonts w:hint="eastAsia" w:ascii="宋体" w:hAnsi="宋体" w:eastAsia="宋体" w:cs="宋体"/>
              </w:rPr>
              <w:t>1）对</w:t>
            </w:r>
            <w:r>
              <w:rPr>
                <w:rFonts w:hint="eastAsia" w:ascii="宋体" w:hAnsi="宋体" w:eastAsia="宋体" w:cs="宋体"/>
                <w:lang w:val="en-US" w:eastAsia="zh-CN"/>
              </w:rPr>
              <w:t>项目</w:t>
            </w:r>
            <w:r>
              <w:rPr>
                <w:rFonts w:hint="eastAsia" w:ascii="宋体" w:hAnsi="宋体" w:eastAsia="宋体" w:cs="宋体"/>
              </w:rPr>
              <w:t>管理情况非常了解,有具体详实的应急处理方案，方案中详细描述了本项目在实施过程中可能会遇到的突发情况，并针对各种突发情况提出完善可行的处理措施，得6分；</w:t>
            </w:r>
          </w:p>
          <w:p>
            <w:pPr>
              <w:jc w:val="left"/>
              <w:rPr>
                <w:rFonts w:hint="eastAsia" w:ascii="宋体" w:hAnsi="宋体" w:eastAsia="宋体" w:cs="宋体"/>
              </w:rPr>
            </w:pPr>
            <w:r>
              <w:rPr>
                <w:rFonts w:hint="eastAsia" w:ascii="宋体" w:hAnsi="宋体" w:eastAsia="宋体" w:cs="宋体"/>
              </w:rPr>
              <w:t>2）对档案管理情况基本了解,方案基本切合实际，针对本项目具有应急处理方案，并提出了可行的处理措施，得4分。</w:t>
            </w:r>
          </w:p>
          <w:p>
            <w:pPr>
              <w:jc w:val="left"/>
              <w:rPr>
                <w:rFonts w:hint="eastAsia" w:ascii="宋体" w:hAnsi="宋体" w:eastAsia="宋体" w:cs="宋体"/>
              </w:rPr>
            </w:pPr>
            <w:r>
              <w:rPr>
                <w:rFonts w:hint="eastAsia" w:ascii="宋体" w:hAnsi="宋体" w:eastAsia="宋体" w:cs="宋体"/>
              </w:rPr>
              <w:t>3）对档案管理情况大致了解,方案大致切合实际，有简单的应急处理方案和处理解决措施,得2分；</w:t>
            </w:r>
          </w:p>
          <w:p>
            <w:pPr>
              <w:pStyle w:val="5"/>
              <w:ind w:left="0" w:leftChars="0" w:right="0" w:rightChars="0"/>
              <w:rPr>
                <w:rFonts w:hint="eastAsia" w:ascii="宋体" w:hAnsi="宋体" w:eastAsia="宋体" w:cs="宋体"/>
                <w:spacing w:val="7"/>
                <w:position w:val="7"/>
                <w:sz w:val="21"/>
                <w:szCs w:val="21"/>
              </w:rPr>
            </w:pPr>
            <w:r>
              <w:rPr>
                <w:rFonts w:hint="eastAsia" w:ascii="宋体" w:hAnsi="宋体" w:eastAsia="宋体" w:cs="宋体"/>
              </w:rPr>
              <w:t>4）未提供相关内容的不得分。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007" w:type="dxa"/>
            <w:tcBorders>
              <w:top w:val="outset" w:color="auto" w:sz="6" w:space="0"/>
              <w:left w:val="outset" w:color="auto" w:sz="6" w:space="0"/>
              <w:bottom w:val="outset" w:color="auto" w:sz="6" w:space="0"/>
              <w:right w:val="outset" w:color="auto" w:sz="6" w:space="0"/>
            </w:tcBorders>
            <w:noWrap w:val="0"/>
            <w:vAlign w:val="top"/>
          </w:tcPr>
          <w:p>
            <w:pPr>
              <w:spacing w:line="253" w:lineRule="auto"/>
              <w:rPr>
                <w:rFonts w:hint="eastAsia" w:ascii="宋体" w:hAnsi="宋体" w:eastAsia="宋体" w:cs="宋体"/>
                <w:spacing w:val="7"/>
                <w:position w:val="7"/>
                <w:sz w:val="21"/>
                <w:szCs w:val="21"/>
              </w:rPr>
            </w:pPr>
          </w:p>
          <w:p>
            <w:pPr>
              <w:spacing w:line="254" w:lineRule="auto"/>
              <w:rPr>
                <w:rFonts w:hint="eastAsia" w:ascii="宋体" w:hAnsi="宋体" w:eastAsia="宋体" w:cs="宋体"/>
                <w:spacing w:val="7"/>
                <w:position w:val="7"/>
                <w:sz w:val="21"/>
                <w:szCs w:val="21"/>
              </w:rPr>
            </w:pPr>
          </w:p>
          <w:p>
            <w:pPr>
              <w:spacing w:line="254" w:lineRule="auto"/>
              <w:rPr>
                <w:rFonts w:hint="eastAsia" w:ascii="宋体" w:hAnsi="宋体" w:eastAsia="宋体" w:cs="宋体"/>
                <w:spacing w:val="7"/>
                <w:position w:val="7"/>
                <w:sz w:val="21"/>
                <w:szCs w:val="21"/>
              </w:rPr>
            </w:pPr>
          </w:p>
          <w:p>
            <w:pPr>
              <w:pStyle w:val="13"/>
              <w:spacing w:before="65" w:line="232" w:lineRule="auto"/>
              <w:ind w:left="19"/>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培训方案</w:t>
            </w:r>
          </w:p>
        </w:tc>
        <w:tc>
          <w:tcPr>
            <w:tcW w:w="792" w:type="dxa"/>
            <w:tcBorders>
              <w:top w:val="outset" w:color="auto" w:sz="6" w:space="0"/>
              <w:left w:val="outset" w:color="auto" w:sz="6" w:space="0"/>
              <w:bottom w:val="outset" w:color="auto" w:sz="6" w:space="0"/>
              <w:right w:val="outset" w:color="auto" w:sz="6" w:space="0"/>
            </w:tcBorders>
            <w:noWrap w:val="0"/>
            <w:vAlign w:val="top"/>
          </w:tcPr>
          <w:p>
            <w:pPr>
              <w:jc w:val="center"/>
              <w:rPr>
                <w:rFonts w:hint="eastAsia" w:ascii="宋体" w:hAnsi="宋体" w:eastAsia="宋体" w:cs="宋体"/>
                <w:spacing w:val="7"/>
                <w:position w:val="7"/>
                <w:sz w:val="21"/>
                <w:szCs w:val="21"/>
              </w:rPr>
            </w:pPr>
          </w:p>
          <w:p>
            <w:pPr>
              <w:jc w:val="center"/>
              <w:rPr>
                <w:rFonts w:hint="eastAsia" w:ascii="宋体" w:hAnsi="宋体" w:eastAsia="宋体" w:cs="宋体"/>
                <w:spacing w:val="7"/>
                <w:position w:val="7"/>
                <w:sz w:val="21"/>
                <w:szCs w:val="21"/>
              </w:rPr>
            </w:pPr>
          </w:p>
          <w:p>
            <w:pPr>
              <w:jc w:val="center"/>
              <w:rPr>
                <w:rFonts w:hint="eastAsia" w:ascii="宋体" w:hAnsi="宋体" w:eastAsia="宋体" w:cs="宋体"/>
                <w:spacing w:val="7"/>
                <w:position w:val="7"/>
                <w:sz w:val="21"/>
                <w:szCs w:val="21"/>
              </w:rPr>
            </w:pPr>
          </w:p>
          <w:p>
            <w:pPr>
              <w:jc w:val="center"/>
              <w:rPr>
                <w:rFonts w:hint="eastAsia" w:ascii="宋体" w:hAnsi="宋体" w:eastAsia="宋体" w:cs="宋体"/>
                <w:spacing w:val="7"/>
                <w:position w:val="7"/>
                <w:sz w:val="21"/>
                <w:szCs w:val="21"/>
              </w:rPr>
            </w:pPr>
            <w:r>
              <w:rPr>
                <w:rFonts w:hint="eastAsia" w:cs="宋体"/>
                <w:spacing w:val="7"/>
                <w:position w:val="7"/>
                <w:sz w:val="21"/>
                <w:szCs w:val="21"/>
                <w:lang w:val="en-US" w:eastAsia="zh-CN"/>
              </w:rPr>
              <w:t>8</w:t>
            </w:r>
            <w:r>
              <w:rPr>
                <w:rFonts w:hint="eastAsia" w:ascii="宋体" w:hAnsi="宋体" w:eastAsia="宋体" w:cs="宋体"/>
                <w:spacing w:val="7"/>
                <w:position w:val="7"/>
                <w:sz w:val="21"/>
                <w:szCs w:val="21"/>
              </w:rPr>
              <w:t>分</w:t>
            </w:r>
          </w:p>
        </w:tc>
        <w:tc>
          <w:tcPr>
            <w:tcW w:w="7534" w:type="dxa"/>
            <w:tcBorders>
              <w:top w:val="outset" w:color="auto" w:sz="6" w:space="0"/>
              <w:left w:val="outset" w:color="auto" w:sz="6" w:space="0"/>
              <w:bottom w:val="outset" w:color="auto" w:sz="6" w:space="0"/>
              <w:right w:val="outset" w:color="auto" w:sz="6" w:space="0"/>
            </w:tcBorders>
            <w:noWrap w:val="0"/>
            <w:vAlign w:val="top"/>
          </w:tcPr>
          <w:p>
            <w:pPr>
              <w:pStyle w:val="13"/>
              <w:spacing w:before="52" w:line="259" w:lineRule="auto"/>
              <w:ind w:left="18" w:right="92" w:hanging="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有针对性的培训，培训目的应使采购人方实际操作人员熟练的使用设备，培训 方案包括培训的时间、地点、 目标、方式、 内容、对象和措施。</w:t>
            </w:r>
          </w:p>
          <w:p>
            <w:pPr>
              <w:pStyle w:val="13"/>
              <w:numPr>
                <w:ilvl w:val="0"/>
                <w:numId w:val="2"/>
              </w:numPr>
              <w:spacing w:before="61" w:line="259" w:lineRule="auto"/>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方案内容完整、具体，内容能符合本项目要求且有优化建议的，得</w:t>
            </w:r>
            <w:r>
              <w:rPr>
                <w:rFonts w:hint="eastAsia" w:ascii="宋体" w:hAnsi="宋体" w:eastAsia="宋体" w:cs="宋体"/>
                <w:spacing w:val="7"/>
                <w:position w:val="7"/>
                <w:sz w:val="21"/>
                <w:szCs w:val="21"/>
                <w:lang w:val="en-US" w:eastAsia="zh-CN"/>
              </w:rPr>
              <w:t>8</w:t>
            </w:r>
            <w:r>
              <w:rPr>
                <w:rFonts w:hint="eastAsia" w:ascii="宋体" w:hAnsi="宋体" w:eastAsia="宋体" w:cs="宋体"/>
                <w:spacing w:val="7"/>
                <w:position w:val="7"/>
                <w:sz w:val="21"/>
                <w:szCs w:val="21"/>
                <w:lang w:eastAsia="zh-CN"/>
              </w:rPr>
              <w:t>分；</w:t>
            </w:r>
          </w:p>
          <w:p>
            <w:pPr>
              <w:pStyle w:val="13"/>
              <w:spacing w:before="61" w:line="259" w:lineRule="auto"/>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（2）方案内容完整， 内容能符合本项目要求的，得</w:t>
            </w:r>
            <w:r>
              <w:rPr>
                <w:rFonts w:hint="eastAsia" w:ascii="宋体" w:hAnsi="宋体" w:eastAsia="宋体" w:cs="宋体"/>
                <w:spacing w:val="7"/>
                <w:position w:val="7"/>
                <w:sz w:val="21"/>
                <w:szCs w:val="21"/>
                <w:lang w:val="en-US" w:eastAsia="zh-CN"/>
              </w:rPr>
              <w:t>5</w:t>
            </w:r>
            <w:r>
              <w:rPr>
                <w:rFonts w:hint="eastAsia" w:ascii="宋体" w:hAnsi="宋体" w:eastAsia="宋体" w:cs="宋体"/>
                <w:spacing w:val="7"/>
                <w:position w:val="7"/>
                <w:sz w:val="21"/>
                <w:szCs w:val="21"/>
                <w:lang w:eastAsia="zh-CN"/>
              </w:rPr>
              <w:t>分；</w:t>
            </w:r>
          </w:p>
          <w:p>
            <w:pPr>
              <w:pStyle w:val="13"/>
              <w:spacing w:before="63" w:line="312" w:lineRule="exact"/>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（3）方案内容完整，细节需要完善的，得</w:t>
            </w:r>
            <w:r>
              <w:rPr>
                <w:rFonts w:hint="eastAsia" w:ascii="宋体" w:hAnsi="宋体" w:eastAsia="宋体" w:cs="宋体"/>
                <w:spacing w:val="7"/>
                <w:position w:val="7"/>
                <w:sz w:val="21"/>
                <w:szCs w:val="21"/>
                <w:lang w:val="en-US" w:eastAsia="zh-CN"/>
              </w:rPr>
              <w:t>2</w:t>
            </w:r>
            <w:r>
              <w:rPr>
                <w:rFonts w:hint="eastAsia" w:ascii="宋体" w:hAnsi="宋体" w:eastAsia="宋体" w:cs="宋体"/>
                <w:spacing w:val="7"/>
                <w:position w:val="7"/>
                <w:sz w:val="21"/>
                <w:szCs w:val="21"/>
                <w:lang w:eastAsia="zh-CN"/>
              </w:rPr>
              <w:t>分；</w:t>
            </w:r>
          </w:p>
          <w:p>
            <w:pPr>
              <w:pStyle w:val="13"/>
              <w:spacing w:before="1" w:line="227" w:lineRule="auto"/>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（4）其它或未提供存在明显缺陷的，不得分。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007" w:type="dxa"/>
            <w:tcBorders>
              <w:top w:val="outset" w:color="auto" w:sz="6" w:space="0"/>
              <w:left w:val="outset" w:color="auto" w:sz="6" w:space="0"/>
              <w:bottom w:val="outset" w:color="auto" w:sz="6" w:space="0"/>
              <w:right w:val="outset" w:color="auto" w:sz="6" w:space="0"/>
            </w:tcBorders>
            <w:noWrap w:val="0"/>
            <w:vAlign w:val="center"/>
          </w:tcPr>
          <w:p>
            <w:pPr>
              <w:pStyle w:val="13"/>
              <w:spacing w:before="65" w:line="232" w:lineRule="auto"/>
              <w:ind w:left="19"/>
              <w:rPr>
                <w:rFonts w:hint="eastAsia" w:ascii="宋体" w:hAnsi="宋体" w:eastAsia="宋体" w:cs="宋体"/>
                <w:spacing w:val="7"/>
                <w:position w:val="7"/>
                <w:sz w:val="21"/>
                <w:szCs w:val="21"/>
                <w:lang w:val="en-US" w:eastAsia="zh-CN"/>
              </w:rPr>
            </w:pPr>
            <w:r>
              <w:rPr>
                <w:rFonts w:hint="eastAsia" w:ascii="宋体" w:hAnsi="宋体" w:eastAsia="宋体" w:cs="宋体"/>
                <w:spacing w:val="7"/>
                <w:position w:val="7"/>
                <w:sz w:val="21"/>
                <w:szCs w:val="21"/>
                <w:lang w:val="en-US" w:eastAsia="zh-CN"/>
              </w:rPr>
              <w:t>备品备件方案</w:t>
            </w:r>
          </w:p>
        </w:tc>
        <w:tc>
          <w:tcPr>
            <w:tcW w:w="792"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spacing w:val="7"/>
                <w:position w:val="7"/>
                <w:sz w:val="21"/>
                <w:szCs w:val="21"/>
                <w:lang w:val="en-US" w:eastAsia="zh-CN"/>
              </w:rPr>
            </w:pPr>
            <w:r>
              <w:rPr>
                <w:rFonts w:hint="eastAsia" w:cs="宋体"/>
                <w:spacing w:val="7"/>
                <w:position w:val="7"/>
                <w:sz w:val="21"/>
                <w:szCs w:val="21"/>
                <w:lang w:val="en-US" w:eastAsia="zh-CN"/>
              </w:rPr>
              <w:t>6</w:t>
            </w:r>
            <w:r>
              <w:rPr>
                <w:rFonts w:hint="eastAsia" w:ascii="宋体" w:hAnsi="宋体" w:eastAsia="宋体" w:cs="宋体"/>
                <w:spacing w:val="7"/>
                <w:position w:val="7"/>
                <w:sz w:val="21"/>
                <w:szCs w:val="21"/>
                <w:lang w:val="en-US" w:eastAsia="zh-CN"/>
              </w:rPr>
              <w:t>分</w:t>
            </w:r>
          </w:p>
        </w:tc>
        <w:tc>
          <w:tcPr>
            <w:tcW w:w="7534" w:type="dxa"/>
            <w:tcBorders>
              <w:top w:val="outset" w:color="auto" w:sz="6" w:space="0"/>
              <w:left w:val="outset" w:color="auto" w:sz="6" w:space="0"/>
              <w:bottom w:val="outset" w:color="auto" w:sz="6" w:space="0"/>
              <w:right w:val="outset" w:color="auto" w:sz="6" w:space="0"/>
            </w:tcBorders>
            <w:noWrap w:val="0"/>
            <w:vAlign w:val="top"/>
          </w:tcPr>
          <w:p>
            <w:pPr>
              <w:pStyle w:val="13"/>
              <w:spacing w:before="1" w:line="227" w:lineRule="auto"/>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val="en-US" w:eastAsia="zh-CN"/>
              </w:rPr>
              <w:t xml:space="preserve">投标文件中提供备品备件管理方案，具体应包括备品备件清单、备品 </w:t>
            </w:r>
          </w:p>
          <w:p>
            <w:pPr>
              <w:pStyle w:val="13"/>
              <w:spacing w:before="1" w:line="227" w:lineRule="auto"/>
              <w:ind w:left="17"/>
              <w:rPr>
                <w:rFonts w:hint="eastAsia" w:ascii="宋体" w:hAnsi="宋体" w:eastAsia="宋体" w:cs="宋体"/>
                <w:spacing w:val="7"/>
                <w:position w:val="7"/>
                <w:sz w:val="21"/>
                <w:szCs w:val="21"/>
                <w:lang w:val="en-US" w:eastAsia="zh-CN"/>
              </w:rPr>
            </w:pPr>
            <w:r>
              <w:rPr>
                <w:rFonts w:hint="eastAsia" w:ascii="宋体" w:hAnsi="宋体" w:eastAsia="宋体" w:cs="宋体"/>
                <w:spacing w:val="7"/>
                <w:position w:val="7"/>
                <w:sz w:val="21"/>
                <w:szCs w:val="21"/>
                <w:lang w:val="en-US" w:eastAsia="zh-CN"/>
              </w:rPr>
              <w:t>备件管理流程、报废处置流程等内容等，</w:t>
            </w:r>
          </w:p>
          <w:p>
            <w:pPr>
              <w:pStyle w:val="13"/>
              <w:numPr>
                <w:ilvl w:val="0"/>
                <w:numId w:val="3"/>
              </w:numPr>
              <w:spacing w:before="1" w:line="227" w:lineRule="auto"/>
              <w:ind w:left="17"/>
              <w:rPr>
                <w:rFonts w:hint="eastAsia" w:ascii="宋体" w:hAnsi="宋体" w:eastAsia="宋体" w:cs="宋体"/>
                <w:spacing w:val="7"/>
                <w:position w:val="7"/>
                <w:sz w:val="21"/>
                <w:szCs w:val="21"/>
                <w:lang w:val="en-US" w:eastAsia="zh-CN"/>
              </w:rPr>
            </w:pPr>
            <w:r>
              <w:rPr>
                <w:rFonts w:hint="eastAsia" w:ascii="宋体" w:hAnsi="宋体" w:eastAsia="宋体" w:cs="宋体"/>
                <w:spacing w:val="7"/>
                <w:position w:val="7"/>
                <w:sz w:val="21"/>
                <w:szCs w:val="21"/>
                <w:lang w:val="en-US" w:eastAsia="zh-CN"/>
              </w:rPr>
              <w:t>方案详尽细致、针对性强的得6分；</w:t>
            </w:r>
          </w:p>
          <w:p>
            <w:pPr>
              <w:pStyle w:val="13"/>
              <w:numPr>
                <w:ilvl w:val="0"/>
                <w:numId w:val="3"/>
              </w:numPr>
              <w:spacing w:before="1" w:line="227" w:lineRule="auto"/>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val="en-US" w:eastAsia="zh-CN"/>
              </w:rPr>
              <w:t>方案较为详尽细致、针对性较强的得3分；</w:t>
            </w:r>
          </w:p>
          <w:p>
            <w:pPr>
              <w:pStyle w:val="13"/>
              <w:numPr>
                <w:ilvl w:val="0"/>
                <w:numId w:val="3"/>
              </w:numPr>
              <w:spacing w:before="1" w:line="227" w:lineRule="auto"/>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val="en-US" w:eastAsia="zh-CN"/>
              </w:rPr>
              <w:t>方案简单，基本满足需要的，得 1 分；</w:t>
            </w:r>
          </w:p>
          <w:p>
            <w:pPr>
              <w:pStyle w:val="13"/>
              <w:numPr>
                <w:ilvl w:val="0"/>
                <w:numId w:val="3"/>
              </w:numPr>
              <w:spacing w:before="1" w:line="227" w:lineRule="auto"/>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val="en-US" w:eastAsia="zh-CN"/>
              </w:rPr>
              <w:t>其他或方案存在明显缺陷的或无方案的，不得分。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007" w:type="dxa"/>
            <w:tcBorders>
              <w:top w:val="outset" w:color="auto" w:sz="6" w:space="0"/>
              <w:left w:val="outset" w:color="auto" w:sz="6" w:space="0"/>
              <w:bottom w:val="outset" w:color="auto" w:sz="6" w:space="0"/>
              <w:right w:val="outset" w:color="auto" w:sz="6" w:space="0"/>
            </w:tcBorders>
            <w:noWrap w:val="0"/>
            <w:vAlign w:val="top"/>
          </w:tcPr>
          <w:p>
            <w:pPr>
              <w:spacing w:line="254" w:lineRule="auto"/>
              <w:rPr>
                <w:rFonts w:hint="eastAsia" w:ascii="宋体" w:hAnsi="宋体" w:eastAsia="宋体" w:cs="宋体"/>
                <w:spacing w:val="7"/>
                <w:position w:val="7"/>
                <w:sz w:val="21"/>
                <w:szCs w:val="21"/>
              </w:rPr>
            </w:pPr>
          </w:p>
          <w:p>
            <w:pPr>
              <w:spacing w:line="255" w:lineRule="auto"/>
              <w:rPr>
                <w:rFonts w:hint="eastAsia" w:ascii="宋体" w:hAnsi="宋体" w:eastAsia="宋体" w:cs="宋体"/>
                <w:spacing w:val="7"/>
                <w:position w:val="7"/>
                <w:sz w:val="21"/>
                <w:szCs w:val="21"/>
              </w:rPr>
            </w:pPr>
          </w:p>
          <w:p>
            <w:pPr>
              <w:pStyle w:val="13"/>
              <w:spacing w:before="65" w:line="229" w:lineRule="auto"/>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售后服务方案</w:t>
            </w:r>
          </w:p>
        </w:tc>
        <w:tc>
          <w:tcPr>
            <w:tcW w:w="792" w:type="dxa"/>
            <w:tcBorders>
              <w:top w:val="outset" w:color="auto" w:sz="6" w:space="0"/>
              <w:left w:val="outset" w:color="auto" w:sz="6" w:space="0"/>
              <w:bottom w:val="outset" w:color="auto" w:sz="6" w:space="0"/>
              <w:right w:val="outset" w:color="auto" w:sz="6" w:space="0"/>
            </w:tcBorders>
            <w:noWrap w:val="0"/>
            <w:vAlign w:val="top"/>
          </w:tcPr>
          <w:p>
            <w:pPr>
              <w:jc w:val="center"/>
              <w:rPr>
                <w:rFonts w:hint="eastAsia" w:ascii="宋体" w:hAnsi="宋体" w:eastAsia="宋体" w:cs="宋体"/>
                <w:spacing w:val="7"/>
                <w:position w:val="7"/>
                <w:sz w:val="21"/>
                <w:szCs w:val="21"/>
              </w:rPr>
            </w:pPr>
          </w:p>
          <w:p>
            <w:pPr>
              <w:jc w:val="center"/>
              <w:rPr>
                <w:rFonts w:hint="eastAsia" w:ascii="宋体" w:hAnsi="宋体" w:eastAsia="宋体" w:cs="宋体"/>
                <w:spacing w:val="7"/>
                <w:position w:val="7"/>
                <w:sz w:val="21"/>
                <w:szCs w:val="21"/>
              </w:rPr>
            </w:pPr>
          </w:p>
          <w:p>
            <w:pPr>
              <w:jc w:val="center"/>
              <w:rPr>
                <w:rFonts w:hint="eastAsia" w:ascii="宋体" w:hAnsi="宋体" w:eastAsia="宋体" w:cs="宋体"/>
                <w:spacing w:val="7"/>
                <w:position w:val="7"/>
                <w:sz w:val="21"/>
                <w:szCs w:val="21"/>
              </w:rPr>
            </w:pPr>
          </w:p>
          <w:p>
            <w:pPr>
              <w:jc w:val="center"/>
              <w:rPr>
                <w:rFonts w:hint="eastAsia" w:ascii="宋体" w:hAnsi="宋体" w:eastAsia="宋体" w:cs="宋体"/>
                <w:spacing w:val="7"/>
                <w:position w:val="7"/>
                <w:sz w:val="21"/>
                <w:szCs w:val="21"/>
              </w:rPr>
            </w:pPr>
            <w:r>
              <w:rPr>
                <w:rFonts w:hint="eastAsia" w:cs="宋体"/>
                <w:spacing w:val="7"/>
                <w:position w:val="7"/>
                <w:sz w:val="21"/>
                <w:szCs w:val="21"/>
                <w:lang w:val="en-US" w:eastAsia="zh-CN"/>
              </w:rPr>
              <w:t>6</w:t>
            </w:r>
            <w:r>
              <w:rPr>
                <w:rFonts w:hint="eastAsia" w:ascii="宋体" w:hAnsi="宋体" w:eastAsia="宋体" w:cs="宋体"/>
                <w:spacing w:val="7"/>
                <w:position w:val="7"/>
                <w:sz w:val="21"/>
                <w:szCs w:val="21"/>
              </w:rPr>
              <w:t>分</w:t>
            </w:r>
          </w:p>
        </w:tc>
        <w:tc>
          <w:tcPr>
            <w:tcW w:w="7534" w:type="dxa"/>
            <w:tcBorders>
              <w:top w:val="outset" w:color="auto" w:sz="6" w:space="0"/>
              <w:left w:val="outset" w:color="auto" w:sz="6" w:space="0"/>
              <w:bottom w:val="outset" w:color="auto" w:sz="6" w:space="0"/>
              <w:right w:val="outset" w:color="auto" w:sz="6" w:space="0"/>
            </w:tcBorders>
            <w:noWrap w:val="0"/>
            <w:vAlign w:val="top"/>
          </w:tcPr>
          <w:p>
            <w:pPr>
              <w:pStyle w:val="13"/>
              <w:spacing w:before="52" w:line="259" w:lineRule="auto"/>
              <w:ind w:left="13" w:right="92" w:firstLine="26"/>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由评标委员会对各投标人的售后服务方案方案（包含：售后服务承诺、备品备 件保障方案等）进行审查。</w:t>
            </w:r>
          </w:p>
          <w:p>
            <w:pPr>
              <w:pStyle w:val="13"/>
              <w:numPr>
                <w:ilvl w:val="0"/>
                <w:numId w:val="4"/>
              </w:numPr>
              <w:spacing w:before="62" w:line="259" w:lineRule="auto"/>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方案内容完整、具体，内容能符合本项目要求且有优化建议的，得</w:t>
            </w:r>
            <w:r>
              <w:rPr>
                <w:rFonts w:hint="eastAsia" w:ascii="宋体" w:hAnsi="宋体" w:eastAsia="宋体" w:cs="宋体"/>
                <w:spacing w:val="7"/>
                <w:position w:val="7"/>
                <w:sz w:val="21"/>
                <w:szCs w:val="21"/>
                <w:lang w:val="en-US" w:eastAsia="zh-CN"/>
              </w:rPr>
              <w:t>6</w:t>
            </w:r>
            <w:r>
              <w:rPr>
                <w:rFonts w:hint="eastAsia" w:ascii="宋体" w:hAnsi="宋体" w:eastAsia="宋体" w:cs="宋体"/>
                <w:spacing w:val="7"/>
                <w:position w:val="7"/>
                <w:sz w:val="21"/>
                <w:szCs w:val="21"/>
                <w:lang w:eastAsia="zh-CN"/>
              </w:rPr>
              <w:t xml:space="preserve">分； </w:t>
            </w:r>
          </w:p>
          <w:p>
            <w:pPr>
              <w:pStyle w:val="13"/>
              <w:spacing w:before="62" w:line="259" w:lineRule="auto"/>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（2）方案内容完整， 内容能符合本项目要求的，得3分；</w:t>
            </w:r>
          </w:p>
          <w:p>
            <w:pPr>
              <w:pStyle w:val="13"/>
              <w:spacing w:before="63" w:line="312" w:lineRule="exact"/>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（3）方案内容完整，细节需要完善的，得 1分；</w:t>
            </w:r>
          </w:p>
          <w:p>
            <w:pPr>
              <w:pStyle w:val="13"/>
              <w:spacing w:before="1" w:line="227" w:lineRule="auto"/>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（4）其它或未提供存在明显缺陷的，不得分。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007" w:type="dxa"/>
            <w:tcBorders>
              <w:top w:val="outset" w:color="auto" w:sz="6" w:space="0"/>
              <w:left w:val="outset" w:color="auto" w:sz="6" w:space="0"/>
              <w:bottom w:val="outset" w:color="auto" w:sz="6" w:space="0"/>
              <w:right w:val="outset" w:color="auto" w:sz="6" w:space="0"/>
            </w:tcBorders>
            <w:noWrap w:val="0"/>
            <w:vAlign w:val="top"/>
          </w:tcPr>
          <w:p>
            <w:pPr>
              <w:spacing w:line="306" w:lineRule="auto"/>
              <w:rPr>
                <w:rFonts w:hint="eastAsia" w:ascii="宋体" w:hAnsi="宋体" w:eastAsia="宋体" w:cs="宋体"/>
                <w:spacing w:val="7"/>
                <w:position w:val="7"/>
                <w:sz w:val="21"/>
                <w:szCs w:val="21"/>
              </w:rPr>
            </w:pPr>
          </w:p>
          <w:p>
            <w:pPr>
              <w:pStyle w:val="13"/>
              <w:spacing w:before="65" w:line="260" w:lineRule="auto"/>
              <w:ind w:righ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供货、实施方案</w:t>
            </w:r>
          </w:p>
        </w:tc>
        <w:tc>
          <w:tcPr>
            <w:tcW w:w="792" w:type="dxa"/>
            <w:tcBorders>
              <w:top w:val="outset" w:color="auto" w:sz="6" w:space="0"/>
              <w:left w:val="outset" w:color="auto" w:sz="6" w:space="0"/>
              <w:bottom w:val="outset" w:color="auto" w:sz="6" w:space="0"/>
              <w:right w:val="outset" w:color="auto" w:sz="6" w:space="0"/>
            </w:tcBorders>
            <w:noWrap w:val="0"/>
            <w:vAlign w:val="top"/>
          </w:tcPr>
          <w:p>
            <w:pPr>
              <w:jc w:val="center"/>
              <w:rPr>
                <w:rFonts w:hint="eastAsia" w:ascii="宋体" w:hAnsi="宋体" w:eastAsia="宋体" w:cs="宋体"/>
                <w:spacing w:val="7"/>
                <w:position w:val="7"/>
                <w:sz w:val="21"/>
                <w:szCs w:val="21"/>
              </w:rPr>
            </w:pPr>
          </w:p>
          <w:p>
            <w:pPr>
              <w:jc w:val="center"/>
              <w:rPr>
                <w:rFonts w:hint="eastAsia" w:ascii="宋体" w:hAnsi="宋体" w:eastAsia="宋体" w:cs="宋体"/>
                <w:spacing w:val="7"/>
                <w:position w:val="7"/>
                <w:sz w:val="21"/>
                <w:szCs w:val="21"/>
              </w:rPr>
            </w:pPr>
          </w:p>
          <w:p>
            <w:pPr>
              <w:jc w:val="center"/>
              <w:rPr>
                <w:rFonts w:hint="eastAsia" w:ascii="宋体" w:hAnsi="宋体" w:eastAsia="宋体" w:cs="宋体"/>
                <w:spacing w:val="7"/>
                <w:position w:val="7"/>
                <w:sz w:val="21"/>
                <w:szCs w:val="21"/>
              </w:rPr>
            </w:pPr>
          </w:p>
          <w:p>
            <w:pPr>
              <w:jc w:val="center"/>
              <w:rPr>
                <w:rFonts w:hint="eastAsia" w:ascii="宋体" w:hAnsi="宋体" w:eastAsia="宋体" w:cs="宋体"/>
                <w:spacing w:val="7"/>
                <w:position w:val="7"/>
                <w:sz w:val="21"/>
                <w:szCs w:val="21"/>
              </w:rPr>
            </w:pPr>
            <w:r>
              <w:rPr>
                <w:rFonts w:hint="eastAsia" w:cs="宋体"/>
                <w:spacing w:val="7"/>
                <w:position w:val="7"/>
                <w:sz w:val="21"/>
                <w:szCs w:val="21"/>
                <w:lang w:val="en-US" w:eastAsia="zh-CN"/>
              </w:rPr>
              <w:t>5</w:t>
            </w:r>
            <w:r>
              <w:rPr>
                <w:rFonts w:hint="eastAsia" w:ascii="宋体" w:hAnsi="宋体" w:eastAsia="宋体" w:cs="宋体"/>
                <w:spacing w:val="7"/>
                <w:position w:val="7"/>
                <w:sz w:val="21"/>
                <w:szCs w:val="21"/>
              </w:rPr>
              <w:t>分</w:t>
            </w:r>
          </w:p>
        </w:tc>
        <w:tc>
          <w:tcPr>
            <w:tcW w:w="7534" w:type="dxa"/>
            <w:tcBorders>
              <w:top w:val="outset" w:color="auto" w:sz="6" w:space="0"/>
              <w:left w:val="outset" w:color="auto" w:sz="6" w:space="0"/>
              <w:bottom w:val="outset" w:color="auto" w:sz="6" w:space="0"/>
              <w:right w:val="outset" w:color="auto" w:sz="6" w:space="0"/>
            </w:tcBorders>
            <w:noWrap w:val="0"/>
            <w:vAlign w:val="top"/>
          </w:tcPr>
          <w:p>
            <w:pPr>
              <w:pStyle w:val="13"/>
              <w:spacing w:before="59" w:line="259" w:lineRule="auto"/>
              <w:ind w:left="14" w:right="92" w:firstLine="26"/>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由评标委员会对各投标人的供货、实施方案进行审查，供货、实施方案中须包括供货周期、</w:t>
            </w:r>
            <w:r>
              <w:rPr>
                <w:rFonts w:hint="eastAsia" w:ascii="宋体" w:hAnsi="宋体" w:eastAsia="宋体" w:cs="宋体"/>
                <w:spacing w:val="7"/>
                <w:position w:val="7"/>
                <w:sz w:val="21"/>
                <w:szCs w:val="21"/>
                <w:lang w:val="en-US" w:eastAsia="zh-CN"/>
              </w:rPr>
              <w:t>供货</w:t>
            </w:r>
            <w:r>
              <w:rPr>
                <w:rFonts w:hint="eastAsia" w:ascii="宋体" w:hAnsi="宋体" w:eastAsia="宋体" w:cs="宋体"/>
                <w:spacing w:val="7"/>
                <w:position w:val="7"/>
                <w:sz w:val="21"/>
                <w:szCs w:val="21"/>
                <w:lang w:eastAsia="zh-CN"/>
              </w:rPr>
              <w:t>方案。</w:t>
            </w:r>
          </w:p>
          <w:p>
            <w:pPr>
              <w:pStyle w:val="13"/>
              <w:numPr>
                <w:ilvl w:val="0"/>
                <w:numId w:val="5"/>
              </w:numPr>
              <w:spacing w:before="61" w:line="259" w:lineRule="auto"/>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方案内容完整、具体，内容能符合本项目要求且有优化建议的，得</w:t>
            </w:r>
            <w:r>
              <w:rPr>
                <w:rFonts w:hint="eastAsia" w:ascii="宋体" w:hAnsi="宋体" w:eastAsia="宋体" w:cs="宋体"/>
                <w:spacing w:val="7"/>
                <w:position w:val="7"/>
                <w:sz w:val="21"/>
                <w:szCs w:val="21"/>
                <w:lang w:val="en-US" w:eastAsia="zh-CN"/>
              </w:rPr>
              <w:t>5</w:t>
            </w:r>
            <w:r>
              <w:rPr>
                <w:rFonts w:hint="eastAsia" w:ascii="宋体" w:hAnsi="宋体" w:eastAsia="宋体" w:cs="宋体"/>
                <w:spacing w:val="7"/>
                <w:position w:val="7"/>
                <w:sz w:val="21"/>
                <w:szCs w:val="21"/>
                <w:lang w:eastAsia="zh-CN"/>
              </w:rPr>
              <w:t>分；</w:t>
            </w:r>
          </w:p>
          <w:p>
            <w:pPr>
              <w:pStyle w:val="13"/>
              <w:spacing w:before="61" w:line="259" w:lineRule="auto"/>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（2）方案内容完整， 内容能符合本项目要求的，得3分；</w:t>
            </w:r>
          </w:p>
          <w:p>
            <w:pPr>
              <w:pStyle w:val="13"/>
              <w:spacing w:before="63" w:line="312" w:lineRule="exact"/>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（3）方案内容完整，细节需要完善的，得1分；</w:t>
            </w:r>
          </w:p>
          <w:p>
            <w:pPr>
              <w:pStyle w:val="13"/>
              <w:spacing w:before="1" w:line="227" w:lineRule="auto"/>
              <w:ind w:left="17"/>
              <w:rPr>
                <w:rFonts w:hint="eastAsia" w:ascii="宋体" w:hAnsi="宋体" w:eastAsia="宋体" w:cs="宋体"/>
                <w:spacing w:val="7"/>
                <w:position w:val="7"/>
                <w:sz w:val="21"/>
                <w:szCs w:val="21"/>
                <w:lang w:eastAsia="zh-CN"/>
              </w:rPr>
            </w:pPr>
            <w:r>
              <w:rPr>
                <w:rFonts w:hint="eastAsia" w:ascii="宋体" w:hAnsi="宋体" w:eastAsia="宋体" w:cs="宋体"/>
                <w:spacing w:val="7"/>
                <w:position w:val="7"/>
                <w:sz w:val="21"/>
                <w:szCs w:val="21"/>
                <w:lang w:eastAsia="zh-CN"/>
              </w:rPr>
              <w:t>（4）其它或未提供存在明显缺陷的，不得分。</w:t>
            </w:r>
          </w:p>
        </w:tc>
      </w:tr>
    </w:tbl>
    <w:p>
      <w:pPr>
        <w:spacing w:line="360" w:lineRule="auto"/>
        <w:ind w:firstLine="440" w:firstLineChars="200"/>
        <w:rPr>
          <w:rFonts w:ascii="宋体" w:hAnsi="宋体" w:cs="宋体"/>
          <w:color w:val="000000"/>
          <w:szCs w:val="21"/>
          <w:highlight w:val="none"/>
        </w:rPr>
      </w:pPr>
      <w:r>
        <w:rPr>
          <w:rFonts w:hint="eastAsia" w:ascii="宋体" w:hAnsi="宋体" w:cs="宋体"/>
          <w:color w:val="000000"/>
          <w:szCs w:val="21"/>
          <w:highlight w:val="none"/>
        </w:rPr>
        <w:t>当评委对投标人的技术标的打分低于</w:t>
      </w:r>
      <w:r>
        <w:rPr>
          <w:rFonts w:hint="eastAsia" w:cs="宋体"/>
          <w:color w:val="000000"/>
          <w:szCs w:val="21"/>
          <w:highlight w:val="none"/>
          <w:lang w:val="en-US" w:eastAsia="zh-CN"/>
        </w:rPr>
        <w:t>技术标</w:t>
      </w:r>
      <w:r>
        <w:rPr>
          <w:rFonts w:hint="eastAsia" w:ascii="宋体" w:hAnsi="宋体" w:cs="宋体"/>
          <w:color w:val="000000"/>
          <w:szCs w:val="21"/>
          <w:highlight w:val="none"/>
        </w:rPr>
        <w:t>总分的60%（或打分为满分）或任何一个子项打分为0分时，须作出解释说明。</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 xml:space="preserve">4．评审结果 </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4.1经评审合格的投标文件，评标委员会按综合评审得分从高到低的顺序依次推荐</w:t>
      </w:r>
      <w:r>
        <w:rPr>
          <w:rFonts w:hint="eastAsia"/>
          <w:color w:val="000000"/>
          <w:sz w:val="21"/>
          <w:szCs w:val="21"/>
          <w:highlight w:val="none"/>
          <w:lang w:val="en-US" w:eastAsia="zh-CN"/>
        </w:rPr>
        <w:t>1-3</w:t>
      </w:r>
      <w:r>
        <w:rPr>
          <w:rFonts w:hint="eastAsia" w:ascii="宋体" w:hAnsi="宋体"/>
          <w:color w:val="000000"/>
          <w:sz w:val="21"/>
          <w:szCs w:val="21"/>
          <w:highlight w:val="none"/>
        </w:rPr>
        <w:t>名中标候</w:t>
      </w:r>
      <w:r>
        <w:rPr>
          <w:rFonts w:hint="eastAsia"/>
          <w:color w:val="000000"/>
          <w:sz w:val="21"/>
          <w:szCs w:val="21"/>
          <w:highlight w:val="none"/>
          <w:lang w:eastAsia="zh-CN"/>
        </w:rPr>
        <w:t>选人</w:t>
      </w:r>
      <w:r>
        <w:rPr>
          <w:rFonts w:hint="eastAsia" w:ascii="宋体" w:hAnsi="宋体"/>
          <w:color w:val="000000"/>
          <w:sz w:val="21"/>
          <w:szCs w:val="21"/>
          <w:highlight w:val="none"/>
        </w:rPr>
        <w:t>。排名第一的为首选中标候</w:t>
      </w:r>
      <w:r>
        <w:rPr>
          <w:rFonts w:hint="eastAsia"/>
          <w:color w:val="000000"/>
          <w:sz w:val="21"/>
          <w:szCs w:val="21"/>
          <w:highlight w:val="none"/>
          <w:lang w:eastAsia="zh-CN"/>
        </w:rPr>
        <w:t>选人</w:t>
      </w:r>
      <w:r>
        <w:rPr>
          <w:rFonts w:hint="eastAsia" w:ascii="宋体" w:hAnsi="宋体"/>
          <w:color w:val="000000"/>
          <w:sz w:val="21"/>
          <w:szCs w:val="21"/>
          <w:highlight w:val="none"/>
        </w:rPr>
        <w:t>，以此类推第二、第三中标候选人。</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4.2评标委员会（</w:t>
      </w:r>
      <w:r>
        <w:rPr>
          <w:rFonts w:hint="eastAsia"/>
          <w:color w:val="000000"/>
          <w:sz w:val="21"/>
          <w:szCs w:val="21"/>
          <w:highlight w:val="none"/>
          <w:lang w:eastAsia="zh-CN"/>
        </w:rPr>
        <w:t>招标</w:t>
      </w:r>
      <w:r>
        <w:rPr>
          <w:rFonts w:hint="eastAsia" w:ascii="宋体" w:hAnsi="宋体"/>
          <w:color w:val="000000"/>
          <w:sz w:val="21"/>
          <w:szCs w:val="21"/>
          <w:highlight w:val="none"/>
        </w:rPr>
        <w:t>代理机构</w:t>
      </w:r>
      <w:r>
        <w:rPr>
          <w:rFonts w:hint="eastAsia"/>
          <w:color w:val="000000"/>
          <w:sz w:val="21"/>
          <w:szCs w:val="21"/>
          <w:highlight w:val="none"/>
          <w:lang w:eastAsia="zh-CN"/>
        </w:rPr>
        <w:t>协助</w:t>
      </w:r>
      <w:r>
        <w:rPr>
          <w:rFonts w:hint="eastAsia" w:ascii="宋体" w:hAnsi="宋体"/>
          <w:color w:val="000000"/>
          <w:sz w:val="21"/>
          <w:szCs w:val="21"/>
          <w:highlight w:val="none"/>
        </w:rPr>
        <w:t>）对拟推荐的中标候选</w:t>
      </w:r>
      <w:r>
        <w:rPr>
          <w:rFonts w:hint="eastAsia"/>
          <w:color w:val="000000"/>
          <w:sz w:val="21"/>
          <w:szCs w:val="21"/>
          <w:highlight w:val="none"/>
          <w:lang w:eastAsia="zh-CN"/>
        </w:rPr>
        <w:t>人</w:t>
      </w:r>
      <w:r>
        <w:rPr>
          <w:rFonts w:hint="eastAsia" w:ascii="宋体" w:hAnsi="宋体"/>
          <w:color w:val="000000"/>
          <w:sz w:val="21"/>
          <w:szCs w:val="21"/>
          <w:highlight w:val="none"/>
        </w:rPr>
        <w:t>的信用状况进行查询，经查询若被列入</w:t>
      </w:r>
      <w:r>
        <w:rPr>
          <w:rFonts w:hint="eastAsia"/>
          <w:color w:val="000000"/>
          <w:sz w:val="21"/>
          <w:szCs w:val="21"/>
          <w:highlight w:val="none"/>
          <w:lang w:eastAsia="zh-CN"/>
        </w:rPr>
        <w:t>投标人</w:t>
      </w:r>
      <w:r>
        <w:rPr>
          <w:rFonts w:hint="eastAsia" w:ascii="宋体" w:hAnsi="宋体"/>
          <w:color w:val="000000"/>
          <w:sz w:val="21"/>
          <w:szCs w:val="21"/>
          <w:highlight w:val="none"/>
        </w:rPr>
        <w:t>须知前附表中第</w:t>
      </w:r>
      <w:r>
        <w:rPr>
          <w:rFonts w:hint="eastAsia"/>
          <w:color w:val="000000"/>
          <w:sz w:val="21"/>
          <w:szCs w:val="21"/>
          <w:highlight w:val="none"/>
          <w:lang w:val="en-US" w:eastAsia="zh-CN"/>
        </w:rPr>
        <w:t>10.1</w:t>
      </w:r>
      <w:r>
        <w:rPr>
          <w:rFonts w:hint="eastAsia" w:ascii="宋体" w:hAnsi="宋体"/>
          <w:color w:val="000000"/>
          <w:sz w:val="21"/>
          <w:szCs w:val="21"/>
          <w:highlight w:val="none"/>
        </w:rPr>
        <w:t>条的，由评标委员会取消其中标候选</w:t>
      </w:r>
      <w:r>
        <w:rPr>
          <w:rFonts w:hint="eastAsia"/>
          <w:color w:val="000000"/>
          <w:sz w:val="21"/>
          <w:szCs w:val="21"/>
          <w:highlight w:val="none"/>
          <w:lang w:eastAsia="zh-CN"/>
        </w:rPr>
        <w:t>人</w:t>
      </w:r>
      <w:r>
        <w:rPr>
          <w:rFonts w:hint="eastAsia" w:ascii="宋体" w:hAnsi="宋体"/>
          <w:color w:val="000000"/>
          <w:sz w:val="21"/>
          <w:szCs w:val="21"/>
          <w:highlight w:val="none"/>
        </w:rPr>
        <w:t>资格，并按4.1条重新确定中标候选</w:t>
      </w:r>
      <w:r>
        <w:rPr>
          <w:rFonts w:hint="eastAsia"/>
          <w:color w:val="000000"/>
          <w:sz w:val="21"/>
          <w:szCs w:val="21"/>
          <w:highlight w:val="none"/>
          <w:lang w:eastAsia="zh-CN"/>
        </w:rPr>
        <w:t>人</w:t>
      </w:r>
      <w:r>
        <w:rPr>
          <w:rFonts w:hint="eastAsia" w:ascii="宋体" w:hAnsi="宋体"/>
          <w:color w:val="000000"/>
          <w:sz w:val="21"/>
          <w:szCs w:val="21"/>
          <w:highlight w:val="none"/>
        </w:rPr>
        <w:t>人选，完成相关工作，与此同时，将对拟推荐的中标候选</w:t>
      </w:r>
      <w:r>
        <w:rPr>
          <w:rFonts w:hint="eastAsia"/>
          <w:color w:val="000000"/>
          <w:sz w:val="21"/>
          <w:szCs w:val="21"/>
          <w:highlight w:val="none"/>
          <w:lang w:eastAsia="zh-CN"/>
        </w:rPr>
        <w:t>人</w:t>
      </w:r>
      <w:r>
        <w:rPr>
          <w:rFonts w:hint="eastAsia" w:ascii="宋体" w:hAnsi="宋体"/>
          <w:color w:val="000000"/>
          <w:sz w:val="21"/>
          <w:szCs w:val="21"/>
          <w:highlight w:val="none"/>
        </w:rPr>
        <w:t>的截至评标日的信用状况进行查询并在截图上由评委会签字确认。</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4.3评标委员会完成评标后，应当向</w:t>
      </w:r>
      <w:r>
        <w:rPr>
          <w:rFonts w:hint="eastAsia"/>
          <w:color w:val="000000"/>
          <w:sz w:val="21"/>
          <w:szCs w:val="21"/>
          <w:highlight w:val="none"/>
          <w:lang w:eastAsia="zh-CN"/>
        </w:rPr>
        <w:t>招标</w:t>
      </w:r>
      <w:r>
        <w:rPr>
          <w:rFonts w:hint="eastAsia" w:ascii="宋体" w:hAnsi="宋体"/>
          <w:color w:val="000000"/>
          <w:sz w:val="21"/>
          <w:szCs w:val="21"/>
          <w:highlight w:val="none"/>
        </w:rPr>
        <w:t>提交书面评标报告。</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5.例外情况</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5.1当出现</w:t>
      </w:r>
      <w:r>
        <w:rPr>
          <w:rFonts w:hint="eastAsia"/>
          <w:color w:val="000000"/>
          <w:sz w:val="21"/>
          <w:szCs w:val="21"/>
          <w:highlight w:val="none"/>
          <w:lang w:eastAsia="zh-CN"/>
        </w:rPr>
        <w:t>投标人</w:t>
      </w:r>
      <w:r>
        <w:rPr>
          <w:rFonts w:hint="eastAsia" w:ascii="宋体" w:hAnsi="宋体"/>
          <w:color w:val="000000"/>
          <w:sz w:val="21"/>
          <w:szCs w:val="21"/>
          <w:highlight w:val="none"/>
        </w:rPr>
        <w:t>综合评审得分相等时，按下列顺序排序：“</w:t>
      </w:r>
      <w:r>
        <w:rPr>
          <w:rFonts w:hint="eastAsia"/>
          <w:color w:val="000000"/>
          <w:sz w:val="21"/>
          <w:szCs w:val="21"/>
          <w:highlight w:val="none"/>
          <w:lang w:val="en-US" w:eastAsia="zh-CN"/>
        </w:rPr>
        <w:t>投标报价</w:t>
      </w:r>
      <w:r>
        <w:rPr>
          <w:rFonts w:hint="eastAsia" w:ascii="宋体" w:hAnsi="宋体"/>
          <w:color w:val="000000"/>
          <w:sz w:val="21"/>
          <w:szCs w:val="21"/>
          <w:highlight w:val="none"/>
        </w:rPr>
        <w:t>”得分高的优先；仍相同时，“</w:t>
      </w:r>
      <w:r>
        <w:rPr>
          <w:rFonts w:hint="eastAsia"/>
          <w:color w:val="000000"/>
          <w:sz w:val="21"/>
          <w:szCs w:val="21"/>
          <w:highlight w:val="none"/>
          <w:lang w:val="en-US" w:eastAsia="zh-CN"/>
        </w:rPr>
        <w:t>技术标</w:t>
      </w:r>
      <w:r>
        <w:rPr>
          <w:rFonts w:hint="eastAsia" w:ascii="宋体" w:hAnsi="宋体"/>
          <w:color w:val="000000"/>
          <w:sz w:val="21"/>
          <w:szCs w:val="21"/>
          <w:highlight w:val="none"/>
        </w:rPr>
        <w:t>”得分高的优先</w:t>
      </w:r>
      <w:r>
        <w:rPr>
          <w:rFonts w:hint="eastAsia"/>
          <w:color w:val="000000"/>
          <w:sz w:val="21"/>
          <w:szCs w:val="21"/>
          <w:highlight w:val="none"/>
          <w:lang w:eastAsia="zh-CN"/>
        </w:rPr>
        <w:t>；</w:t>
      </w:r>
      <w:r>
        <w:rPr>
          <w:rFonts w:hint="eastAsia" w:ascii="宋体" w:hAnsi="宋体"/>
          <w:color w:val="000000"/>
          <w:sz w:val="21"/>
          <w:szCs w:val="21"/>
          <w:highlight w:val="none"/>
        </w:rPr>
        <w:t>依然相同时，由评标委员会现场抽签确定顺序。</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5.2通过评审合格的投标人少于3家，评标委员会应否决全部投标，项目按流标处理。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5.3招标文件条款存在含义不清或者相互矛盾的，评标委员会应当针对相应条款作出有利于相应</w:t>
      </w:r>
      <w:r>
        <w:rPr>
          <w:rFonts w:hint="eastAsia"/>
          <w:color w:val="000000"/>
          <w:sz w:val="21"/>
          <w:szCs w:val="21"/>
          <w:highlight w:val="none"/>
          <w:lang w:eastAsia="zh-CN"/>
        </w:rPr>
        <w:t>投标人</w:t>
      </w:r>
      <w:r>
        <w:rPr>
          <w:rFonts w:hint="eastAsia" w:ascii="宋体" w:hAnsi="宋体"/>
          <w:color w:val="000000"/>
          <w:sz w:val="21"/>
          <w:szCs w:val="21"/>
          <w:highlight w:val="none"/>
        </w:rPr>
        <w:t>的结论。</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5.4 评标委员会发现招标文件存在歧义、重大缺陷导致评标工作无法进行，或者招标文件的内容违反国家有关强制性规定的，应当停止评标工作，与</w:t>
      </w:r>
      <w:r>
        <w:rPr>
          <w:rFonts w:hint="eastAsia"/>
          <w:color w:val="000000"/>
          <w:sz w:val="21"/>
          <w:szCs w:val="21"/>
          <w:highlight w:val="none"/>
          <w:lang w:eastAsia="zh-CN"/>
        </w:rPr>
        <w:t>招标人</w:t>
      </w:r>
      <w:r>
        <w:rPr>
          <w:rFonts w:hint="eastAsia" w:ascii="宋体" w:hAnsi="宋体"/>
          <w:color w:val="000000"/>
          <w:sz w:val="21"/>
          <w:szCs w:val="21"/>
          <w:highlight w:val="none"/>
        </w:rPr>
        <w:t>或代理机构沟通并做书面记录。</w:t>
      </w:r>
      <w:r>
        <w:rPr>
          <w:rFonts w:hint="eastAsia"/>
          <w:color w:val="000000"/>
          <w:sz w:val="21"/>
          <w:szCs w:val="21"/>
          <w:highlight w:val="none"/>
          <w:lang w:eastAsia="zh-CN"/>
        </w:rPr>
        <w:t>招标人</w:t>
      </w:r>
      <w:r>
        <w:rPr>
          <w:rFonts w:hint="eastAsia" w:ascii="宋体" w:hAnsi="宋体"/>
          <w:color w:val="000000"/>
          <w:sz w:val="21"/>
          <w:szCs w:val="21"/>
          <w:highlight w:val="none"/>
        </w:rPr>
        <w:t>或代理机构书面确认后，应当修改招标文件，重新组织采购活动。</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6.其他</w:t>
      </w:r>
    </w:p>
    <w:p>
      <w:pPr>
        <w:spacing w:line="360" w:lineRule="auto"/>
        <w:ind w:firstLine="420" w:firstLineChars="200"/>
        <w:rPr>
          <w:rFonts w:hint="eastAsia" w:ascii="宋体" w:hAnsi="宋体"/>
          <w:color w:val="000000"/>
          <w:sz w:val="21"/>
          <w:szCs w:val="21"/>
          <w:highlight w:val="none"/>
          <w:lang w:eastAsia="zh-CN"/>
        </w:rPr>
      </w:pPr>
      <w:r>
        <w:rPr>
          <w:rFonts w:hint="eastAsia" w:ascii="宋体" w:hAnsi="宋体"/>
          <w:color w:val="000000"/>
          <w:sz w:val="21"/>
          <w:szCs w:val="21"/>
          <w:highlight w:val="none"/>
          <w:lang w:val="en-US" w:eastAsia="zh-CN"/>
        </w:rPr>
        <w:t>6.1</w:t>
      </w:r>
      <w:r>
        <w:rPr>
          <w:rFonts w:hint="eastAsia" w:ascii="宋体" w:hAnsi="宋体"/>
          <w:color w:val="000000"/>
          <w:sz w:val="21"/>
          <w:szCs w:val="21"/>
          <w:highlight w:val="none"/>
        </w:rPr>
        <w:t>评标委员会发现投标人的报价明显</w:t>
      </w:r>
      <w:r>
        <w:rPr>
          <w:rFonts w:hint="eastAsia" w:ascii="宋体" w:hAnsi="宋体"/>
          <w:color w:val="000000"/>
          <w:sz w:val="21"/>
          <w:szCs w:val="21"/>
          <w:highlight w:val="none"/>
          <w:lang w:eastAsia="zh-CN"/>
        </w:rPr>
        <w:t>低于</w:t>
      </w:r>
      <w:r>
        <w:rPr>
          <w:rFonts w:hint="eastAsia" w:ascii="宋体" w:hAnsi="宋体"/>
          <w:color w:val="000000"/>
          <w:sz w:val="21"/>
          <w:szCs w:val="21"/>
          <w:highlight w:val="none"/>
        </w:rPr>
        <w:t>其他</w:t>
      </w:r>
      <w:r>
        <w:rPr>
          <w:rFonts w:hint="eastAsia" w:ascii="宋体" w:hAnsi="宋体"/>
          <w:color w:val="000000"/>
          <w:sz w:val="21"/>
          <w:szCs w:val="21"/>
          <w:highlight w:val="none"/>
          <w:lang w:eastAsia="zh-CN"/>
        </w:rPr>
        <w:t>有效</w:t>
      </w:r>
      <w:r>
        <w:rPr>
          <w:rFonts w:hint="eastAsia" w:ascii="宋体" w:hAnsi="宋体"/>
          <w:color w:val="000000"/>
          <w:sz w:val="21"/>
          <w:szCs w:val="21"/>
          <w:highlight w:val="none"/>
        </w:rPr>
        <w:t>投标报价平均值50%时，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hint="eastAsia" w:ascii="宋体" w:hAnsi="宋体"/>
          <w:color w:val="000000"/>
          <w:sz w:val="21"/>
          <w:szCs w:val="21"/>
          <w:highlight w:val="none"/>
          <w:lang w:eastAsia="zh-CN"/>
        </w:rPr>
        <w:t>。</w:t>
      </w:r>
    </w:p>
    <w:p>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6.2</w:t>
      </w:r>
      <w:r>
        <w:rPr>
          <w:rFonts w:hint="eastAsia" w:ascii="宋体" w:hAnsi="宋体"/>
          <w:color w:val="000000"/>
          <w:sz w:val="21"/>
          <w:szCs w:val="21"/>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澄清、说明或补正不得超出投标文件的范围且不得改变投标文件的实质性内容，并构成投标文件的组成部分。评标委员会对投标人提交的澄清、说明或补正有疑问的，可以要求投标人进一步澄清、说明或补正，直至满足评标委员会的要求。</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en-US" w:eastAsia="zh-CN"/>
        </w:rPr>
        <w:t>6.3</w:t>
      </w:r>
      <w:r>
        <w:rPr>
          <w:rFonts w:hint="eastAsia" w:ascii="宋体" w:hAnsi="宋体"/>
          <w:color w:val="000000"/>
          <w:sz w:val="21"/>
          <w:szCs w:val="21"/>
          <w:highlight w:val="none"/>
          <w:lang w:val="zh-CN" w:eastAsia="zh-CN"/>
        </w:rPr>
        <w:t>有下列情形之一的，评标委员会应当否决其投标：</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一</w:t>
      </w:r>
      <w:r>
        <w:rPr>
          <w:rFonts w:hint="eastAsia" w:ascii="宋体" w:hAnsi="宋体"/>
          <w:color w:val="000000"/>
          <w:sz w:val="21"/>
          <w:szCs w:val="21"/>
          <w:highlight w:val="none"/>
          <w:lang w:val="zh-CN" w:eastAsia="zh-CN"/>
        </w:rPr>
        <w:t>）投标联合体没有提交共同投标协议；</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二</w:t>
      </w:r>
      <w:r>
        <w:rPr>
          <w:rFonts w:hint="eastAsia" w:ascii="宋体" w:hAnsi="宋体"/>
          <w:color w:val="000000"/>
          <w:sz w:val="21"/>
          <w:szCs w:val="21"/>
          <w:highlight w:val="none"/>
          <w:lang w:val="zh-CN" w:eastAsia="zh-CN"/>
        </w:rPr>
        <w:t>）投标人不符合国家或者招标文件规定的资格条件；</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三</w:t>
      </w:r>
      <w:r>
        <w:rPr>
          <w:rFonts w:hint="eastAsia" w:ascii="宋体" w:hAnsi="宋体"/>
          <w:color w:val="000000"/>
          <w:sz w:val="21"/>
          <w:szCs w:val="21"/>
          <w:highlight w:val="none"/>
          <w:lang w:val="zh-CN" w:eastAsia="zh-CN"/>
        </w:rPr>
        <w:t>）同一投标人提交两个以上不同的投标文件或者投标报价，但招标文件要求提交备选投标的除外；</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四</w:t>
      </w:r>
      <w:r>
        <w:rPr>
          <w:rFonts w:hint="eastAsia" w:ascii="宋体" w:hAnsi="宋体"/>
          <w:color w:val="000000"/>
          <w:sz w:val="21"/>
          <w:szCs w:val="21"/>
          <w:highlight w:val="none"/>
          <w:lang w:val="zh-CN" w:eastAsia="zh-CN"/>
        </w:rPr>
        <w:t>）投标报价低于成本或者高于招标文件设定的最高投标限价；</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五</w:t>
      </w:r>
      <w:r>
        <w:rPr>
          <w:rFonts w:hint="eastAsia" w:ascii="宋体" w:hAnsi="宋体"/>
          <w:color w:val="000000"/>
          <w:sz w:val="21"/>
          <w:szCs w:val="21"/>
          <w:highlight w:val="none"/>
          <w:lang w:val="zh-CN" w:eastAsia="zh-CN"/>
        </w:rPr>
        <w:t>）投标文件没有对招标文件的实质性要求和条件作出响应；</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六</w:t>
      </w:r>
      <w:r>
        <w:rPr>
          <w:rFonts w:hint="eastAsia" w:ascii="宋体" w:hAnsi="宋体"/>
          <w:color w:val="000000"/>
          <w:sz w:val="21"/>
          <w:szCs w:val="21"/>
          <w:highlight w:val="none"/>
          <w:lang w:val="zh-CN" w:eastAsia="zh-CN"/>
        </w:rPr>
        <w:t>）投标人有串通投标、弄虚作假、行贿等违法行为。</w:t>
      </w:r>
    </w:p>
    <w:p>
      <w:pPr>
        <w:pStyle w:val="6"/>
        <w:rPr>
          <w:rFonts w:hint="default"/>
          <w:color w:val="000000"/>
          <w:sz w:val="21"/>
          <w:szCs w:val="21"/>
          <w:highlight w:val="none"/>
          <w:lang w:val="en-US" w:eastAsia="zh-CN"/>
        </w:rPr>
      </w:pPr>
    </w:p>
    <w:p>
      <w:r>
        <w:rPr>
          <w:rFonts w:hint="eastAsia" w:ascii="宋体" w:hAnsi="宋体"/>
          <w:color w:val="000000"/>
          <w:sz w:val="21"/>
          <w:szCs w:val="21"/>
          <w:highlight w:val="none"/>
          <w:lang w:val="en-US" w:eastAsia="zh-CN"/>
        </w:rPr>
        <w:t>6.4中标候选人公示内容应包括招标人及其委托的代理机构的名称、地址、联系方式，项目名称和项目编号，中标候选人名称</w:t>
      </w:r>
      <w:r>
        <w:rPr>
          <w:rFonts w:hint="eastAsia"/>
          <w:color w:val="FF0000"/>
          <w:sz w:val="21"/>
          <w:szCs w:val="21"/>
          <w:highlight w:val="none"/>
          <w:lang w:val="en-US" w:eastAsia="zh-CN"/>
        </w:rPr>
        <w:t>及排序</w:t>
      </w:r>
      <w:r>
        <w:rPr>
          <w:rFonts w:hint="eastAsia" w:ascii="宋体" w:hAnsi="宋体"/>
          <w:color w:val="000000"/>
          <w:sz w:val="21"/>
          <w:szCs w:val="21"/>
          <w:highlight w:val="none"/>
          <w:lang w:val="en-US" w:eastAsia="zh-CN"/>
        </w:rPr>
        <w:t>、</w:t>
      </w:r>
      <w:r>
        <w:rPr>
          <w:rFonts w:hint="eastAsia"/>
          <w:color w:val="000000"/>
          <w:sz w:val="21"/>
          <w:szCs w:val="21"/>
          <w:highlight w:val="none"/>
          <w:lang w:val="en-US" w:eastAsia="zh-CN"/>
        </w:rPr>
        <w:t>交货期</w:t>
      </w:r>
      <w:r>
        <w:rPr>
          <w:rFonts w:hint="eastAsia" w:ascii="宋体" w:hAnsi="宋体"/>
          <w:color w:val="000000"/>
          <w:sz w:val="21"/>
          <w:szCs w:val="21"/>
          <w:highlight w:val="none"/>
          <w:lang w:val="en-US" w:eastAsia="zh-CN"/>
        </w:rPr>
        <w:t>和投标报价，</w:t>
      </w:r>
      <w:r>
        <w:rPr>
          <w:rFonts w:hint="eastAsia" w:ascii="宋体" w:hAnsi="宋体"/>
          <w:color w:val="000000"/>
          <w:sz w:val="21"/>
          <w:szCs w:val="21"/>
          <w:highlight w:val="none"/>
        </w:rPr>
        <w:t>中标</w:t>
      </w:r>
      <w:r>
        <w:rPr>
          <w:rFonts w:hint="eastAsia" w:ascii="宋体" w:hAnsi="宋体"/>
          <w:color w:val="000000"/>
          <w:sz w:val="21"/>
          <w:szCs w:val="21"/>
          <w:highlight w:val="none"/>
          <w:lang w:eastAsia="zh-CN"/>
        </w:rPr>
        <w:t>候选人</w:t>
      </w:r>
      <w:r>
        <w:rPr>
          <w:rFonts w:hint="eastAsia" w:ascii="宋体" w:hAnsi="宋体"/>
          <w:color w:val="000000"/>
          <w:sz w:val="21"/>
          <w:szCs w:val="21"/>
          <w:highlight w:val="none"/>
        </w:rPr>
        <w:t>业绩，</w:t>
      </w:r>
      <w:r>
        <w:rPr>
          <w:rFonts w:hint="eastAsia" w:ascii="宋体" w:hAnsi="宋体"/>
          <w:color w:val="000000"/>
          <w:sz w:val="21"/>
          <w:szCs w:val="21"/>
          <w:highlight w:val="none"/>
          <w:lang w:val="en-US" w:eastAsia="zh-CN"/>
        </w:rPr>
        <w:t>评标被否决单位及原因，公示期限。</w:t>
      </w:r>
    </w:p>
    <w:p>
      <w:pPr>
        <w:pStyle w:val="11"/>
        <w:wordWrap w:val="0"/>
        <w:topLinePunct/>
        <w:adjustRightInd w:val="0"/>
        <w:snapToGrid w:val="0"/>
        <w:jc w:val="both"/>
        <w:rPr>
          <w:rFonts w:eastAsia="仿宋"/>
          <w:snapToGrid w:val="0"/>
          <w:color w:val="000000"/>
          <w:kern w:val="0"/>
          <w:sz w:val="24"/>
          <w:szCs w:val="24"/>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49DE7"/>
    <w:multiLevelType w:val="singleLevel"/>
    <w:tmpl w:val="80449DE7"/>
    <w:lvl w:ilvl="0" w:tentative="0">
      <w:start w:val="1"/>
      <w:numFmt w:val="decimal"/>
      <w:suff w:val="nothing"/>
      <w:lvlText w:val="（%1）"/>
      <w:lvlJc w:val="left"/>
    </w:lvl>
  </w:abstractNum>
  <w:abstractNum w:abstractNumId="1">
    <w:nsid w:val="DAB48718"/>
    <w:multiLevelType w:val="singleLevel"/>
    <w:tmpl w:val="DAB48718"/>
    <w:lvl w:ilvl="0" w:tentative="0">
      <w:start w:val="1"/>
      <w:numFmt w:val="decimal"/>
      <w:suff w:val="nothing"/>
      <w:lvlText w:val="（%1）"/>
      <w:lvlJc w:val="left"/>
    </w:lvl>
  </w:abstractNum>
  <w:abstractNum w:abstractNumId="2">
    <w:nsid w:val="EE4B7C09"/>
    <w:multiLevelType w:val="singleLevel"/>
    <w:tmpl w:val="EE4B7C09"/>
    <w:lvl w:ilvl="0" w:tentative="0">
      <w:start w:val="1"/>
      <w:numFmt w:val="decimal"/>
      <w:suff w:val="nothing"/>
      <w:lvlText w:val="（%1）"/>
      <w:lvlJc w:val="left"/>
    </w:lvl>
  </w:abstractNum>
  <w:abstractNum w:abstractNumId="3">
    <w:nsid w:val="073DAF93"/>
    <w:multiLevelType w:val="singleLevel"/>
    <w:tmpl w:val="073DAF93"/>
    <w:lvl w:ilvl="0" w:tentative="0">
      <w:start w:val="1"/>
      <w:numFmt w:val="decimal"/>
      <w:suff w:val="nothing"/>
      <w:lvlText w:val="（%1）"/>
      <w:lvlJc w:val="left"/>
    </w:lvl>
  </w:abstractNum>
  <w:abstractNum w:abstractNumId="4">
    <w:nsid w:val="19855CBA"/>
    <w:multiLevelType w:val="singleLevel"/>
    <w:tmpl w:val="19855CBA"/>
    <w:lvl w:ilvl="0" w:tentative="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MjM1NjZhMTllZjRhYmNiODZiOGMzYThkNTZjMWEifQ=="/>
  </w:docVars>
  <w:rsids>
    <w:rsidRoot w:val="00000000"/>
    <w:rsid w:val="093F51ED"/>
    <w:rsid w:val="0A472FD5"/>
    <w:rsid w:val="0DF26CD2"/>
    <w:rsid w:val="0E6766BF"/>
    <w:rsid w:val="0F3F5FF6"/>
    <w:rsid w:val="14D64C58"/>
    <w:rsid w:val="17BE19D3"/>
    <w:rsid w:val="3273368E"/>
    <w:rsid w:val="44AE1EA1"/>
    <w:rsid w:val="60912EFF"/>
    <w:rsid w:val="63D77671"/>
    <w:rsid w:val="678216A2"/>
    <w:rsid w:val="68686AEA"/>
    <w:rsid w:val="78554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ind w:left="420" w:leftChars="200" w:firstLine="420"/>
    </w:pPr>
    <w:rPr>
      <w:rFonts w:ascii="Times New Roman" w:hAnsi="Times New Roman"/>
      <w:bCs w:val="0"/>
      <w:sz w:val="21"/>
      <w:szCs w:val="24"/>
    </w:rPr>
  </w:style>
  <w:style w:type="paragraph" w:styleId="3">
    <w:name w:val="Body Text Indent"/>
    <w:basedOn w:val="1"/>
    <w:next w:val="4"/>
    <w:autoRedefine/>
    <w:qFormat/>
    <w:uiPriority w:val="0"/>
    <w:pPr>
      <w:ind w:firstLine="560" w:firstLineChars="200"/>
    </w:pPr>
    <w:rPr>
      <w:rFonts w:ascii="宋体" w:hAnsi="宋体"/>
      <w:bCs/>
      <w:sz w:val="28"/>
      <w:szCs w:val="32"/>
    </w:rPr>
  </w:style>
  <w:style w:type="paragraph" w:styleId="4">
    <w:name w:val="envelope return"/>
    <w:basedOn w:val="1"/>
    <w:autoRedefine/>
    <w:qFormat/>
    <w:uiPriority w:val="0"/>
    <w:pPr>
      <w:snapToGrid w:val="0"/>
    </w:pPr>
    <w:rPr>
      <w:rFonts w:ascii="Arial" w:hAnsi="Arial"/>
    </w:rPr>
  </w:style>
  <w:style w:type="paragraph" w:styleId="5">
    <w:name w:val="annotation text"/>
    <w:basedOn w:val="1"/>
    <w:qFormat/>
    <w:uiPriority w:val="0"/>
    <w:pPr>
      <w:jc w:val="left"/>
    </w:pPr>
  </w:style>
  <w:style w:type="paragraph" w:styleId="6">
    <w:name w:val="index 4"/>
    <w:basedOn w:val="1"/>
    <w:next w:val="1"/>
    <w:qFormat/>
    <w:uiPriority w:val="99"/>
    <w:pPr>
      <w:ind w:left="600" w:leftChars="600"/>
    </w:pPr>
    <w:rPr>
      <w:szCs w:val="24"/>
    </w:rPr>
  </w:style>
  <w:style w:type="paragraph" w:styleId="7">
    <w:name w:val="Normal (Web)"/>
    <w:basedOn w:val="1"/>
    <w:autoRedefine/>
    <w:qFormat/>
    <w:uiPriority w:val="99"/>
    <w:pPr>
      <w:widowControl/>
      <w:spacing w:before="100" w:beforeLines="0" w:beforeAutospacing="1" w:after="100" w:afterLines="0" w:afterAutospacing="1"/>
      <w:jc w:val="left"/>
    </w:pPr>
    <w:rPr>
      <w:rFonts w:hint="eastAsia"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12">
    <w:name w:val="List Paragraph"/>
    <w:basedOn w:val="1"/>
    <w:autoRedefine/>
    <w:qFormat/>
    <w:uiPriority w:val="1"/>
    <w:pPr>
      <w:ind w:left="400" w:firstLine="419"/>
    </w:pPr>
    <w:rPr>
      <w:rFonts w:ascii="宋体" w:hAnsi="宋体" w:eastAsia="宋体" w:cs="宋体"/>
      <w:lang w:val="zh-CN" w:eastAsia="zh-CN" w:bidi="zh-CN"/>
    </w:rPr>
  </w:style>
  <w:style w:type="paragraph" w:customStyle="1" w:styleId="13">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2024-04-23T01:45:00Z</dcterms:created>
  <dc:creator>Administrator</dc:creator>
  <cp:lastModifiedBy>王丽</cp:lastModifiedBy>
  <dcterms:modified xsi:type="dcterms:W3CDTF">2024-04-26T01:46:45Z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042E4B4224E24389908B5C1D177F9A40_12</vt:lpwstr>
  </property>
</Properties>
</file>