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60" w:lineRule="auto"/>
        <w:jc w:val="center"/>
        <w:rPr>
          <w:rFonts w:hint="eastAsia" w:ascii="宋体" w:hAnsi="宋体" w:eastAsia="宋体" w:cs="宋体"/>
          <w:b/>
          <w:color w:val="000000"/>
          <w:kern w:val="0"/>
          <w:sz w:val="28"/>
          <w:szCs w:val="28"/>
          <w:lang w:val="zh-CN" w:eastAsia="zh-CN" w:bidi="zh-CN"/>
        </w:rPr>
      </w:pPr>
      <w:r>
        <w:rPr>
          <w:rFonts w:hint="eastAsia" w:cs="宋体"/>
          <w:b/>
          <w:color w:val="000000"/>
          <w:kern w:val="0"/>
          <w:sz w:val="28"/>
          <w:szCs w:val="28"/>
          <w:lang w:val="zh-CN" w:eastAsia="zh-CN" w:bidi="zh-CN"/>
        </w:rPr>
        <w:t>一、</w:t>
      </w:r>
      <w:r>
        <w:rPr>
          <w:rFonts w:hint="eastAsia" w:ascii="宋体" w:hAnsi="宋体" w:eastAsia="宋体" w:cs="宋体"/>
          <w:b/>
          <w:color w:val="000000"/>
          <w:kern w:val="0"/>
          <w:sz w:val="28"/>
          <w:szCs w:val="28"/>
          <w:lang w:val="zh-CN" w:eastAsia="zh-CN" w:bidi="zh-CN"/>
        </w:rPr>
        <w:t>投标人的资格要求</w:t>
      </w:r>
    </w:p>
    <w:p>
      <w:pPr>
        <w:spacing w:line="360" w:lineRule="auto"/>
        <w:jc w:val="left"/>
        <w:rPr>
          <w:rFonts w:hint="eastAsia" w:ascii="宋体" w:hAnsi="宋体"/>
          <w:b/>
          <w:color w:val="000000"/>
          <w:sz w:val="36"/>
          <w:szCs w:val="36"/>
          <w:highlight w:val="none"/>
        </w:rPr>
      </w:pPr>
      <w:r>
        <w:rPr>
          <w:rFonts w:hint="eastAsia" w:ascii="宋体" w:hAnsi="宋体" w:eastAsia="宋体" w:cs="宋体"/>
          <w:color w:val="000000"/>
          <w:kern w:val="0"/>
          <w:sz w:val="24"/>
          <w:szCs w:val="24"/>
          <w:highlight w:val="none"/>
          <w:lang w:val="zh-CN" w:eastAsia="zh-CN" w:bidi="zh-CN"/>
        </w:rPr>
        <w:t>1．投标人资质：具备（1）和（2）：具有</w:t>
      </w:r>
      <w:r>
        <w:rPr>
          <w:rFonts w:hint="eastAsia" w:cs="宋体"/>
          <w:color w:val="000000"/>
          <w:kern w:val="0"/>
          <w:sz w:val="24"/>
          <w:szCs w:val="24"/>
          <w:highlight w:val="none"/>
          <w:lang w:val="en-US" w:eastAsia="zh-CN" w:bidi="zh-CN"/>
        </w:rPr>
        <w:t>有效的</w:t>
      </w:r>
      <w:r>
        <w:rPr>
          <w:rFonts w:hint="eastAsia" w:ascii="宋体" w:hAnsi="宋体" w:eastAsia="宋体" w:cs="宋体"/>
          <w:color w:val="000000"/>
          <w:kern w:val="0"/>
          <w:sz w:val="24"/>
          <w:szCs w:val="24"/>
          <w:highlight w:val="none"/>
          <w:lang w:val="zh-CN" w:eastAsia="zh-CN" w:bidi="zh-CN"/>
        </w:rPr>
        <w:t>医疗器械生产许可证或具有有效的医疗器械经营许可证（许可证经营范围包含体外诊断试剂）；（2）具备药品经营许可证，经营范围包括生物制品。</w:t>
      </w:r>
    </w:p>
    <w:p>
      <w:pPr>
        <w:spacing w:line="360" w:lineRule="auto"/>
        <w:jc w:val="center"/>
        <w:rPr>
          <w:rFonts w:hint="eastAsia"/>
          <w:b/>
          <w:color w:val="000000"/>
          <w:sz w:val="28"/>
          <w:szCs w:val="28"/>
        </w:rPr>
      </w:pPr>
      <w:r>
        <w:rPr>
          <w:rFonts w:hint="eastAsia"/>
          <w:b/>
          <w:color w:val="000000"/>
          <w:sz w:val="28"/>
          <w:szCs w:val="28"/>
          <w:lang w:eastAsia="zh-CN"/>
        </w:rPr>
        <w:t>二、</w:t>
      </w:r>
      <w:r>
        <w:rPr>
          <w:rFonts w:hint="eastAsia"/>
          <w:b/>
          <w:color w:val="000000"/>
          <w:sz w:val="28"/>
          <w:szCs w:val="28"/>
        </w:rPr>
        <w:t>采购需求说明</w:t>
      </w:r>
    </w:p>
    <w:p>
      <w:pPr>
        <w:pStyle w:val="2"/>
        <w:spacing w:after="0"/>
        <w:ind w:left="0" w:leftChars="0" w:firstLine="560"/>
        <w:jc w:val="left"/>
        <w:rPr>
          <w:rFonts w:ascii="Times New Roman" w:hAnsi="Times New Roman" w:eastAsia="仿宋"/>
          <w:b/>
          <w:bCs/>
          <w:snapToGrid w:val="0"/>
          <w:color w:val="FF0000"/>
          <w:spacing w:val="0"/>
          <w:kern w:val="0"/>
          <w:sz w:val="28"/>
          <w:szCs w:val="28"/>
          <w:highlight w:val="none"/>
        </w:rPr>
      </w:pPr>
      <w:r>
        <w:rPr>
          <w:rFonts w:hint="eastAsia" w:ascii="仿宋" w:hAnsi="仿宋" w:eastAsia="仿宋" w:cs="仿宋"/>
          <w:b/>
          <w:bCs/>
          <w:color w:val="FF0000"/>
          <w:sz w:val="28"/>
          <w:szCs w:val="28"/>
        </w:rPr>
        <w:t>*1</w:t>
      </w:r>
      <w:r>
        <w:rPr>
          <w:rFonts w:hint="eastAsia" w:ascii="仿宋" w:hAnsi="仿宋" w:eastAsia="仿宋" w:cs="仿宋"/>
          <w:b/>
          <w:bCs/>
          <w:color w:val="FF0000"/>
          <w:sz w:val="28"/>
          <w:szCs w:val="28"/>
          <w:lang w:val="en-US" w:eastAsia="zh-CN"/>
        </w:rPr>
        <w:t>.</w:t>
      </w:r>
      <w:r>
        <w:rPr>
          <w:rFonts w:hint="eastAsia" w:ascii="仿宋" w:hAnsi="仿宋" w:eastAsia="仿宋" w:cs="仿宋"/>
          <w:b/>
          <w:bCs/>
          <w:color w:val="FF0000"/>
          <w:sz w:val="28"/>
          <w:szCs w:val="28"/>
        </w:rPr>
        <w:t>投标产品须具有有效的医疗器械注册证（适用第三类医疗器械）。</w:t>
      </w:r>
    </w:p>
    <w:p>
      <w:pPr>
        <w:ind w:firstLine="560" w:firstLineChars="200"/>
        <w:rPr>
          <w:rFonts w:hint="eastAsia" w:ascii="仿宋" w:hAnsi="仿宋" w:eastAsia="仿宋" w:cs="仿宋"/>
          <w:bCs w:val="0"/>
          <w:sz w:val="28"/>
          <w:szCs w:val="28"/>
          <w:lang w:val="en-US" w:eastAsia="zh-CN" w:bidi="zh-CN"/>
        </w:rPr>
      </w:pPr>
      <w:r>
        <w:rPr>
          <w:rFonts w:hint="eastAsia" w:ascii="仿宋" w:hAnsi="仿宋" w:eastAsia="仿宋" w:cs="仿宋"/>
          <w:bCs w:val="0"/>
          <w:sz w:val="28"/>
          <w:szCs w:val="28"/>
          <w:lang w:val="en-US" w:eastAsia="zh-CN" w:bidi="zh-CN"/>
        </w:rPr>
        <w:t>2.具体采购数量由招标人中标配送企业按计划分批次进行采购。招标人有权按实际需要调整采购量，但原则上年采购数量不超过招标数量。</w:t>
      </w:r>
    </w:p>
    <w:p>
      <w:pPr>
        <w:ind w:firstLine="560" w:firstLineChars="200"/>
        <w:rPr>
          <w:rFonts w:hint="eastAsia" w:ascii="仿宋" w:hAnsi="仿宋" w:eastAsia="仿宋" w:cs="仿宋"/>
          <w:bCs w:val="0"/>
          <w:sz w:val="28"/>
          <w:szCs w:val="28"/>
          <w:lang w:val="en-US" w:eastAsia="zh-CN" w:bidi="zh-CN"/>
        </w:rPr>
      </w:pPr>
      <w:r>
        <w:rPr>
          <w:rFonts w:hint="eastAsia" w:ascii="仿宋" w:hAnsi="仿宋" w:eastAsia="仿宋" w:cs="仿宋"/>
          <w:bCs w:val="0"/>
          <w:sz w:val="28"/>
          <w:szCs w:val="28"/>
          <w:lang w:val="en-US" w:eastAsia="zh-CN" w:bidi="zh-CN"/>
        </w:rPr>
        <w:t>3.采购需求一览表中的试剂数量为两年使用量，本次招标服务期限为2年，供货期≤3个日历日；具有24小时应急服务，特殊情况下需2小时送达。</w:t>
      </w:r>
    </w:p>
    <w:p>
      <w:pPr>
        <w:ind w:firstLine="560" w:firstLineChars="200"/>
        <w:rPr>
          <w:rFonts w:hint="eastAsia" w:ascii="仿宋" w:hAnsi="仿宋" w:eastAsia="仿宋" w:cs="仿宋"/>
          <w:bCs w:val="0"/>
          <w:sz w:val="28"/>
          <w:szCs w:val="28"/>
          <w:lang w:val="en-US" w:eastAsia="zh-CN" w:bidi="zh-CN"/>
        </w:rPr>
      </w:pPr>
      <w:r>
        <w:rPr>
          <w:rFonts w:hint="eastAsia" w:ascii="仿宋" w:hAnsi="仿宋" w:eastAsia="仿宋" w:cs="仿宋"/>
          <w:bCs w:val="0"/>
          <w:sz w:val="28"/>
          <w:szCs w:val="28"/>
          <w:lang w:val="en-US" w:eastAsia="zh-CN" w:bidi="zh-CN"/>
        </w:rPr>
        <w:t>◆4.投标人在安徽省医药集中采购平台交易目录内有“采购限价”的产品，合计投标金额需达总金额90%及以上。</w:t>
      </w:r>
    </w:p>
    <w:p>
      <w:pPr>
        <w:pStyle w:val="2"/>
        <w:ind w:left="0" w:leftChars="0" w:firstLine="562" w:firstLineChars="200"/>
        <w:rPr>
          <w:rFonts w:hint="default" w:ascii="仿宋" w:hAnsi="仿宋" w:eastAsia="仿宋" w:cs="仿宋"/>
          <w:b/>
          <w:bCs/>
          <w:color w:val="FF0000"/>
          <w:sz w:val="28"/>
          <w:szCs w:val="28"/>
          <w:lang w:val="en-US" w:eastAsia="zh-CN" w:bidi="zh-CN"/>
        </w:rPr>
      </w:pPr>
      <w:r>
        <w:rPr>
          <w:rFonts w:hint="eastAsia" w:ascii="仿宋" w:hAnsi="仿宋" w:eastAsia="仿宋" w:cs="仿宋"/>
          <w:b/>
          <w:bCs/>
          <w:color w:val="FF0000"/>
          <w:sz w:val="28"/>
          <w:szCs w:val="28"/>
          <w:lang w:val="en-US" w:eastAsia="zh-CN" w:bidi="zh-CN"/>
        </w:rPr>
        <w:t>*5.投标人所投产品（检验试剂）必须是安徽省医药集中采购平台品种，投标人所投产品报价不得高于安徽省医药集中采购平台限价，</w:t>
      </w:r>
      <w:r>
        <w:rPr>
          <w:rFonts w:hint="eastAsia" w:ascii="仿宋" w:hAnsi="仿宋" w:eastAsia="仿宋" w:cs="仿宋"/>
          <w:b/>
          <w:bCs/>
          <w:color w:val="FF0000"/>
          <w:sz w:val="28"/>
          <w:szCs w:val="28"/>
          <w:highlight w:val="none"/>
          <w:lang w:val="en-US" w:eastAsia="zh-CN" w:bidi="zh-CN"/>
        </w:rPr>
        <w:t>如遇国家、省、市等相关政策调整，检验试剂等供货价格按相关政策执行，投标人无偿提供检验项目开展的质控品、校准品及相关耗材（投</w:t>
      </w:r>
      <w:r>
        <w:rPr>
          <w:rFonts w:hint="eastAsia" w:ascii="仿宋" w:hAnsi="仿宋" w:eastAsia="仿宋" w:cs="仿宋"/>
          <w:b/>
          <w:bCs/>
          <w:color w:val="FF0000"/>
          <w:sz w:val="28"/>
          <w:szCs w:val="28"/>
          <w:lang w:val="en-US" w:eastAsia="zh-CN" w:bidi="zh-CN"/>
        </w:rPr>
        <w:t>标人需综合考虑报价），以及适配医院现有的圣湘全自动核酸提取工作站CS2的核酸提取试剂和耗材。（提供承诺函，承诺函格式自拟;</w:t>
      </w:r>
      <w:r>
        <w:rPr>
          <w:rFonts w:hint="eastAsia" w:ascii="仿宋" w:hAnsi="仿宋" w:eastAsia="仿宋" w:cs="仿宋"/>
          <w:b/>
          <w:bCs/>
          <w:strike w:val="0"/>
          <w:dstrike w:val="0"/>
          <w:color w:val="FF0000"/>
          <w:sz w:val="28"/>
          <w:szCs w:val="28"/>
          <w:lang w:val="en-US" w:eastAsia="zh-CN" w:bidi="zh-CN"/>
        </w:rPr>
        <w:t>提供适配圣湘全自动核酸提取工作站CS2的核酸提取试剂和耗材的技术白皮书</w:t>
      </w:r>
      <w:r>
        <w:rPr>
          <w:rFonts w:hint="eastAsia" w:ascii="仿宋" w:hAnsi="仿宋" w:eastAsia="仿宋" w:cs="仿宋"/>
          <w:b/>
          <w:bCs/>
          <w:color w:val="FF0000"/>
          <w:sz w:val="28"/>
          <w:szCs w:val="28"/>
          <w:lang w:val="en-US" w:eastAsia="zh-CN" w:bidi="zh-CN"/>
        </w:rPr>
        <w:t>。)</w:t>
      </w:r>
    </w:p>
    <w:p>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b/>
          <w:snapToGrid w:val="0"/>
          <w:color w:val="000000"/>
          <w:spacing w:val="0"/>
          <w:kern w:val="0"/>
          <w:sz w:val="28"/>
          <w:szCs w:val="28"/>
          <w:highlight w:val="none"/>
        </w:rPr>
        <w:t>采购需求一览表</w:t>
      </w:r>
    </w:p>
    <w:tbl>
      <w:tblPr>
        <w:tblStyle w:val="9"/>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064"/>
        <w:gridCol w:w="3818"/>
        <w:gridCol w:w="1053"/>
        <w:gridCol w:w="85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174"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序号</w:t>
            </w:r>
          </w:p>
        </w:tc>
        <w:tc>
          <w:tcPr>
            <w:tcW w:w="1064"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名称</w:t>
            </w:r>
          </w:p>
        </w:tc>
        <w:tc>
          <w:tcPr>
            <w:tcW w:w="3818"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技术参数和规格型号</w:t>
            </w:r>
          </w:p>
        </w:tc>
        <w:tc>
          <w:tcPr>
            <w:tcW w:w="1053"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数量</w:t>
            </w:r>
          </w:p>
        </w:tc>
        <w:tc>
          <w:tcPr>
            <w:tcW w:w="859"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单位</w:t>
            </w:r>
          </w:p>
        </w:tc>
        <w:tc>
          <w:tcPr>
            <w:tcW w:w="1088" w:type="dxa"/>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r>
              <w:rPr>
                <w:rFonts w:hint="eastAsia" w:ascii="宋体" w:hAnsi="宋体" w:eastAsia="宋体" w:cs="宋体"/>
                <w:snapToGrid w:val="0"/>
                <w:color w:val="000000"/>
                <w:spacing w:val="0"/>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74"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rPr>
            </w:pPr>
          </w:p>
        </w:tc>
        <w:tc>
          <w:tcPr>
            <w:tcW w:w="1064"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rPr>
            </w:pPr>
          </w:p>
        </w:tc>
        <w:tc>
          <w:tcPr>
            <w:tcW w:w="3818"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rPr>
            </w:pPr>
          </w:p>
        </w:tc>
        <w:tc>
          <w:tcPr>
            <w:tcW w:w="1053"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p>
        </w:tc>
        <w:tc>
          <w:tcPr>
            <w:tcW w:w="859"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p>
        </w:tc>
        <w:tc>
          <w:tcPr>
            <w:tcW w:w="1088" w:type="dxa"/>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诺如病毒核酸检测试剂盒（PCR-荧光探针法）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1、可体外定性检测临床人粪便样本中的诺如病毒GI/GII型RNA。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2、最低检测限≤1000copies/ml。</w:t>
            </w:r>
          </w:p>
        </w:tc>
        <w:tc>
          <w:tcPr>
            <w:tcW w:w="1053"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rPr>
            </w:pPr>
            <w:r>
              <w:rPr>
                <w:rFonts w:hint="eastAsia" w:ascii="宋体" w:hAnsi="宋体" w:eastAsia="宋体" w:cs="宋体"/>
                <w:snapToGrid w:val="0"/>
                <w:color w:val="000000"/>
                <w:spacing w:val="0"/>
                <w:kern w:val="0"/>
                <w:highlight w:val="none"/>
                <w:lang w:val="en-US" w:eastAsia="zh-CN"/>
              </w:rPr>
              <w:t>1000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lang w:eastAsia="zh-CN"/>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解脲支原体（UU）核酸测定试剂盒（荧光PCR法）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1、核酸提取原理：常温裂解，操作快速简单一步法提取技术，无需转移，直接扩增。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2、检测灵敏度/检测下限：400copies/mL。</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1800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B组链球菌（GBS)核酸测定试剂盒（荧光PCR法）</w:t>
            </w:r>
          </w:p>
        </w:tc>
        <w:tc>
          <w:tcPr>
            <w:tcW w:w="3818" w:type="dxa"/>
            <w:noWrap w:val="0"/>
            <w:vAlign w:val="center"/>
          </w:tcPr>
          <w:p>
            <w:pPr>
              <w:keepNext w:val="0"/>
              <w:keepLines w:val="0"/>
              <w:widowControl/>
              <w:numPr>
                <w:ilvl w:val="0"/>
                <w:numId w:val="1"/>
              </w:numPr>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检测基因：cfb基因，cps基因双靶点设计，防止漏检。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2、核酸提取温度：常温。    </w:t>
            </w:r>
          </w:p>
          <w:p>
            <w:pPr>
              <w:keepNext w:val="0"/>
              <w:keepLines w:val="0"/>
              <w:widowControl/>
              <w:numPr>
                <w:ilvl w:val="0"/>
                <w:numId w:val="0"/>
              </w:numPr>
              <w:suppressLineNumbers w:val="0"/>
              <w:ind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3、灵敏度:最低检测限为200copies/mL。</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4500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乙型肝炎病毒核酸测定试剂盒(荧光PCR法)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1、核酸提取原理：操作快速简单一步法提取技术，无需转移，直接扩增。                                                                    2、是否有内标：有全程参与核酸提取和扩增的内标。</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3500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EB病毒核酸定量检测试剂盒（PCR-荧光探针法）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◆1、适用于定量检测外周血样本中的EB病毒（EBV） DNA 。                       </w:t>
            </w:r>
          </w:p>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2、提取方式：可以兼容一步法，常温化学裂解技术。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3、检测灵敏度/检测下限：400copies/mL。</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2800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淋球菌核酸检测试剂盒（PCR-荧光探针法）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1、核酸提取原理：常温裂解，操作快速简单一步法提取技术，无需转移，直接扩增。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2、检测灵敏度/检测下限：400copies/mL。</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1800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沙眼衣原体核酸检测试剂盒（PCR-荧光探针法）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1、核酸提取原理：常温裂解，操作快速简单一步法提取技术，无需转移，直接扩增。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2、检测灵敏度/检测下限：400copies/mL。</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1500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乙型肝炎病毒、丙型肝炎病毒、人类免疫缺陷病毒（1+2型）核酸检测试剂盒（PCR-荧光法）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 xml:space="preserve">1、检测项目：基于PCR荧光法联合检测HBV-DNA、HCV-RNA、HIV- 1RNA </w:t>
            </w:r>
            <w:bookmarkStart w:id="1" w:name="_GoBack"/>
            <w:bookmarkEnd w:id="1"/>
            <w:r>
              <w:rPr>
                <w:rFonts w:hint="eastAsia" w:ascii="宋体" w:hAnsi="宋体" w:eastAsia="宋体" w:cs="宋体"/>
                <w:i w:val="0"/>
                <w:iCs w:val="0"/>
                <w:color w:val="000000"/>
                <w:kern w:val="0"/>
                <w:sz w:val="18"/>
                <w:szCs w:val="18"/>
                <w:u w:val="none"/>
                <w:lang w:val="en-US" w:eastAsia="zh-CN" w:bidi="ar"/>
              </w:rPr>
              <w:t>和HIV- 2RNA。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◆2、HIV病毒检测覆盖HIV-1型和HIV-2型，HIV-1 病毒基因型覆盖范围包含：M组、N组、O组， HIV-2 病毒基因型覆盖范围包含A、B型。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3、检测灵敏度符合国内外主流要求，其中单人份检测灵敏度(95%置信区间)：HBV_DNA≤4 IU/ml， HCV_RNA≤10IU/ml， HIV_RNA-1+2≤50 IU/ml（相关投标试剂的灵敏度以国家药监局批准的产品说明书的标示灵敏度为准）。</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7000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MTHFR C677T 基因多态性检测试剂盒（荧光PCR法）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1、可检测一个SNP位点MTHFR基因c.677C＞T。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2、试剂盒最低检测含量可达5ng，精密度变异系数CV≤5%。</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2600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CYP2C19基因分型检测试剂盒（荧光PCR法）</w:t>
            </w:r>
          </w:p>
        </w:tc>
        <w:tc>
          <w:tcPr>
            <w:tcW w:w="3818" w:type="dxa"/>
            <w:noWrap w:val="0"/>
            <w:vAlign w:val="center"/>
          </w:tcPr>
          <w:p>
            <w:pPr>
              <w:keepNext w:val="0"/>
              <w:keepLines w:val="0"/>
              <w:widowControl/>
              <w:numPr>
                <w:ilvl w:val="0"/>
                <w:numId w:val="2"/>
              </w:numPr>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可检测三个SNP位点含有CYP2C19x2、CYP2C19x3、CYP2C19x17。</w:t>
            </w:r>
          </w:p>
          <w:p>
            <w:pPr>
              <w:keepNext w:val="0"/>
              <w:keepLines w:val="0"/>
              <w:widowControl/>
              <w:numPr>
                <w:ilvl w:val="0"/>
                <w:numId w:val="0"/>
              </w:numPr>
              <w:suppressLineNumbers w:val="0"/>
              <w:ind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2、试剂盒最低检测含量可达1ng，精密度变异系数CV≤5%。</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 xml:space="preserve">ApoE和SLCO1B1基因多态性检测试剂盒（荧光PCR法）                        </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◆1、可检测三个SNP位点含有ApoE基因c.388T&gt;C、ApoE基因c.526C&gt;T、SLCO1B1基因c.521T&gt;C。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2、试剂盒最低检测含量可达1ng，精密度变异系数CV≤5%。</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2200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新型冠状病毒2019-nCoV核酸检测试剂盒（荧光PCR法）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1、提取方法及时间：磁珠法15分钟/96样本。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2、检测下限： 200 copies/mL。</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color w:val="000000"/>
                <w:sz w:val="21"/>
                <w:szCs w:val="21"/>
                <w:highlight w:val="none"/>
              </w:rPr>
              <w:t>▲</w:t>
            </w:r>
            <w:r>
              <w:rPr>
                <w:rFonts w:hint="eastAsia" w:ascii="宋体" w:hAnsi="宋体" w:eastAsia="宋体" w:cs="宋体"/>
                <w:i w:val="0"/>
                <w:iCs w:val="0"/>
                <w:color w:val="000000"/>
                <w:kern w:val="0"/>
                <w:sz w:val="18"/>
                <w:szCs w:val="18"/>
                <w:u w:val="none"/>
                <w:lang w:val="en-US" w:eastAsia="zh-CN" w:bidi="ar"/>
              </w:rPr>
              <w:t>六项呼吸道病原体核酸检测试剂盒（PCR-荧光探针法）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Style w:val="11"/>
                <w:lang w:val="en-US" w:eastAsia="zh-CN" w:bidi="ar"/>
              </w:rPr>
              <w:t>1、检测项目：</w:t>
            </w:r>
            <w:r>
              <w:rPr>
                <w:rStyle w:val="12"/>
                <w:lang w:val="en-US" w:eastAsia="zh-CN" w:bidi="ar"/>
              </w:rPr>
              <w:t>基于荧光定量PCR方法学联合检测</w:t>
            </w:r>
            <w:r>
              <w:rPr>
                <w:rStyle w:val="11"/>
                <w:lang w:val="en-US" w:eastAsia="zh-CN" w:bidi="ar"/>
              </w:rPr>
              <w:t>甲型流感病毒，乙型流感病毒，呼吸道合胞病毒，腺病毒，肺炎支原体，人鼻病毒等。</w:t>
            </w:r>
            <w:r>
              <w:rPr>
                <w:rStyle w:val="12"/>
                <w:lang w:val="en-US" w:eastAsia="zh-CN" w:bidi="ar"/>
              </w:rPr>
              <w:br w:type="textWrapping"/>
            </w:r>
            <w:r>
              <w:rPr>
                <w:rStyle w:val="12"/>
                <w:lang w:val="en-US" w:eastAsia="zh-CN" w:bidi="ar"/>
              </w:rPr>
              <w:t xml:space="preserve">2、检测灵敏度/检测下限：500copies/mL。                                                     </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六项呼吸道病原菌核酸检测试剂盒（多重荧光PCR法）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◆1、基于荧光定量PCR检测技术。                                          2、检测项目及灵敏度：肺炎克雷伯菌900 CFU/mL、肺炎链球菌15 CFU/mL、流感嗜血杆菌625 CFU/mL、铜绿假单胞菌675 CFU/mL、嗜肺军团菌340 CFU/mL、金黄色葡萄球菌2875 CFU/mL。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3、是否有内标：有内源性内标，可监控采样、核酸提取和扩增全过程。</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百日咳杆菌核酸检测试剂盒（PCR-荧光探针法）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1、是否有内标：有内源性内标，可监控采样、核酸提取和扩增全过程。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◆2、检测灵敏度/检测下限：400copies/mL。</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曲霉菌属、新型隐球菌及肺孢子菌核酸三重联检试剂盒（PCR荧光探针法）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1、检测靶标，曲霉菌属，新型隐球菌，肺孢子菌。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2、检测下限：1500copies/ml。</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800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甲型/乙型流感病毒RNA检测试剂盒（荧光PCR法）</w:t>
            </w:r>
          </w:p>
        </w:tc>
        <w:tc>
          <w:tcPr>
            <w:tcW w:w="3818"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snapToGrid w:val="0"/>
                <w:color w:val="000000"/>
                <w:spacing w:val="0"/>
                <w:kern w:val="0"/>
                <w:highlight w:val="none"/>
              </w:rPr>
            </w:pPr>
            <w:r>
              <w:rPr>
                <w:rFonts w:hint="eastAsia" w:ascii="宋体" w:hAnsi="宋体" w:eastAsia="宋体" w:cs="宋体"/>
                <w:i w:val="0"/>
                <w:iCs w:val="0"/>
                <w:color w:val="000000"/>
                <w:kern w:val="0"/>
                <w:sz w:val="18"/>
                <w:szCs w:val="18"/>
                <w:u w:val="none"/>
                <w:lang w:val="en-US" w:eastAsia="zh-CN" w:bidi="ar"/>
              </w:rPr>
              <w:t>1、检测方法：实时荧光定量PCR方法。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2、检测限：浓度为500copies/mL的检测限。</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06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肺炎支原体（MP)核酸检测试剂盒（荧光PCR法）</w:t>
            </w:r>
          </w:p>
        </w:tc>
        <w:tc>
          <w:tcPr>
            <w:tcW w:w="3818" w:type="dxa"/>
            <w:noWrap w:val="0"/>
            <w:vAlign w:val="center"/>
          </w:tcPr>
          <w:p>
            <w:pPr>
              <w:keepNext w:val="0"/>
              <w:keepLines w:val="0"/>
              <w:widowControl/>
              <w:numPr>
                <w:ilvl w:val="0"/>
                <w:numId w:val="3"/>
              </w:numPr>
              <w:suppressLineNumbers w:val="0"/>
              <w:ind w:left="0" w:leftChars="0" w:right="0" w:rightChars="0"/>
              <w:jc w:val="left"/>
              <w:textAlignment w:val="center"/>
              <w:rPr>
                <w:rFonts w:hint="eastAsia"/>
              </w:rPr>
            </w:pPr>
            <w:r>
              <w:rPr>
                <w:rFonts w:hint="eastAsia" w:ascii="宋体" w:hAnsi="宋体" w:eastAsia="宋体" w:cs="宋体"/>
                <w:i w:val="0"/>
                <w:iCs w:val="0"/>
                <w:color w:val="000000"/>
                <w:kern w:val="0"/>
                <w:sz w:val="18"/>
                <w:szCs w:val="18"/>
                <w:u w:val="none"/>
                <w:lang w:val="en-US" w:eastAsia="zh-CN" w:bidi="ar"/>
              </w:rPr>
              <w:t>检验原理:采用实时荧光PCR技术，MP(FAM通道)、内标(HEX/VIC通道)，双通道检测。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2、检测限：浓度为500copies/mL的检测限。</w:t>
            </w:r>
          </w:p>
        </w:tc>
        <w:tc>
          <w:tcPr>
            <w:tcW w:w="105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lang w:eastAsia="zh-CN"/>
              </w:rPr>
              <w:t>份</w:t>
            </w:r>
          </w:p>
        </w:tc>
        <w:tc>
          <w:tcPr>
            <w:tcW w:w="1088" w:type="dxa"/>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p>
        </w:tc>
      </w:tr>
    </w:tbl>
    <w:p>
      <w:pPr>
        <w:ind w:firstLine="640" w:firstLineChars="200"/>
        <w:rPr>
          <w:rFonts w:hint="default" w:ascii="仿宋_GB2312" w:hAnsi="仿宋_GB2312" w:eastAsia="仿宋_GB2312" w:cs="仿宋_GB2312"/>
          <w:sz w:val="32"/>
          <w:szCs w:val="32"/>
          <w:lang w:val="en-US" w:eastAsia="zh-CN"/>
        </w:rPr>
      </w:pPr>
    </w:p>
    <w:p>
      <w:pPr>
        <w:pStyle w:val="13"/>
        <w:ind w:firstLine="3600" w:firstLineChars="1500"/>
        <w:jc w:val="both"/>
        <w:rPr>
          <w:rFonts w:hint="eastAsia" w:ascii="宋体" w:hAnsi="宋体" w:cs="宋体"/>
          <w:color w:val="auto"/>
          <w:kern w:val="0"/>
          <w:sz w:val="24"/>
          <w:szCs w:val="22"/>
          <w:highlight w:val="none"/>
          <w:lang w:val="en-US" w:eastAsia="zh-CN" w:bidi="zh-CN"/>
        </w:rPr>
      </w:pPr>
    </w:p>
    <w:p>
      <w:pPr>
        <w:pStyle w:val="13"/>
        <w:ind w:firstLine="3600" w:firstLineChars="1500"/>
        <w:jc w:val="both"/>
        <w:rPr>
          <w:rFonts w:hint="eastAsia" w:ascii="宋体" w:hAnsi="宋体" w:cs="宋体"/>
          <w:color w:val="auto"/>
          <w:kern w:val="0"/>
          <w:sz w:val="24"/>
          <w:szCs w:val="22"/>
          <w:highlight w:val="none"/>
          <w:lang w:val="en-US" w:eastAsia="zh-CN" w:bidi="zh-CN"/>
        </w:rPr>
      </w:pPr>
    </w:p>
    <w:p>
      <w:pPr>
        <w:pStyle w:val="13"/>
        <w:ind w:firstLine="3600" w:firstLineChars="1500"/>
        <w:jc w:val="both"/>
        <w:rPr>
          <w:rFonts w:hint="eastAsia" w:ascii="宋体" w:hAnsi="宋体" w:cs="宋体"/>
          <w:color w:val="auto"/>
          <w:kern w:val="0"/>
          <w:sz w:val="24"/>
          <w:szCs w:val="22"/>
          <w:highlight w:val="none"/>
          <w:lang w:val="en-US" w:eastAsia="zh-CN" w:bidi="zh-CN"/>
        </w:rPr>
      </w:pPr>
    </w:p>
    <w:p>
      <w:pPr>
        <w:pStyle w:val="13"/>
        <w:ind w:firstLine="3600" w:firstLineChars="1500"/>
        <w:jc w:val="both"/>
        <w:rPr>
          <w:rFonts w:hint="eastAsia" w:ascii="宋体" w:hAnsi="宋体" w:cs="宋体"/>
          <w:color w:val="auto"/>
          <w:kern w:val="0"/>
          <w:sz w:val="24"/>
          <w:szCs w:val="22"/>
          <w:highlight w:val="none"/>
          <w:lang w:val="en-US" w:eastAsia="zh-CN" w:bidi="zh-CN"/>
        </w:rPr>
      </w:pPr>
    </w:p>
    <w:p>
      <w:pPr>
        <w:pStyle w:val="13"/>
        <w:ind w:firstLine="3600" w:firstLineChars="1500"/>
        <w:jc w:val="both"/>
        <w:rPr>
          <w:rFonts w:hint="eastAsia" w:ascii="宋体" w:hAnsi="宋体" w:cs="宋体"/>
          <w:color w:val="auto"/>
          <w:kern w:val="0"/>
          <w:sz w:val="24"/>
          <w:szCs w:val="22"/>
          <w:highlight w:val="none"/>
          <w:lang w:val="en-US" w:eastAsia="zh-CN" w:bidi="zh-CN"/>
        </w:rPr>
      </w:pPr>
    </w:p>
    <w:p>
      <w:pPr>
        <w:pStyle w:val="13"/>
        <w:ind w:firstLine="3600" w:firstLineChars="1500"/>
        <w:jc w:val="both"/>
        <w:rPr>
          <w:rFonts w:hint="eastAsia" w:ascii="宋体" w:hAnsi="宋体" w:cs="宋体"/>
          <w:color w:val="auto"/>
          <w:kern w:val="0"/>
          <w:sz w:val="24"/>
          <w:szCs w:val="22"/>
          <w:highlight w:val="none"/>
          <w:lang w:val="en-US" w:eastAsia="zh-CN" w:bidi="zh-CN"/>
        </w:rPr>
      </w:pPr>
    </w:p>
    <w:p>
      <w:pPr>
        <w:pStyle w:val="13"/>
        <w:ind w:firstLine="3600" w:firstLineChars="1500"/>
        <w:jc w:val="both"/>
        <w:rPr>
          <w:rFonts w:hint="eastAsia" w:ascii="宋体" w:hAnsi="宋体" w:eastAsia="宋体" w:cs="宋体"/>
          <w:color w:val="auto"/>
          <w:kern w:val="0"/>
          <w:sz w:val="24"/>
          <w:szCs w:val="22"/>
          <w:highlight w:val="none"/>
          <w:lang w:val="en-US" w:eastAsia="zh-CN" w:bidi="zh-CN"/>
        </w:rPr>
      </w:pPr>
      <w:r>
        <w:rPr>
          <w:rFonts w:hint="eastAsia" w:ascii="宋体" w:hAnsi="宋体" w:cs="宋体"/>
          <w:color w:val="auto"/>
          <w:kern w:val="0"/>
          <w:sz w:val="24"/>
          <w:szCs w:val="22"/>
          <w:highlight w:val="none"/>
          <w:lang w:val="en-US" w:eastAsia="zh-CN" w:bidi="zh-CN"/>
        </w:rPr>
        <w:t>本</w:t>
      </w:r>
      <w:r>
        <w:rPr>
          <w:rFonts w:hint="eastAsia" w:ascii="宋体" w:hAnsi="宋体" w:eastAsia="宋体" w:cs="宋体"/>
          <w:color w:val="auto"/>
          <w:kern w:val="0"/>
          <w:sz w:val="24"/>
          <w:szCs w:val="22"/>
          <w:highlight w:val="none"/>
          <w:lang w:val="en-US" w:eastAsia="zh-CN" w:bidi="zh-CN"/>
        </w:rPr>
        <w:t>项目核心产品一览表</w:t>
      </w:r>
    </w:p>
    <w:tbl>
      <w:tblPr>
        <w:tblStyle w:val="9"/>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2"/>
                <w:highlight w:val="none"/>
                <w:lang w:val="en-US" w:eastAsia="zh-CN" w:bidi="zh-CN"/>
              </w:rPr>
            </w:pPr>
            <w:r>
              <w:rPr>
                <w:rFonts w:hint="eastAsia" w:ascii="宋体" w:hAnsi="宋体" w:eastAsia="宋体" w:cs="宋体"/>
                <w:color w:val="auto"/>
                <w:kern w:val="0"/>
                <w:sz w:val="24"/>
                <w:szCs w:val="22"/>
                <w:highlight w:val="none"/>
                <w:lang w:val="en-US" w:eastAsia="zh-CN" w:bidi="zh-CN"/>
              </w:rPr>
              <w:t>序号</w:t>
            </w:r>
          </w:p>
        </w:tc>
        <w:tc>
          <w:tcPr>
            <w:tcW w:w="610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2"/>
                <w:highlight w:val="none"/>
                <w:lang w:val="en-US" w:eastAsia="zh-CN" w:bidi="zh-CN"/>
              </w:rPr>
            </w:pPr>
            <w:r>
              <w:rPr>
                <w:rFonts w:hint="eastAsia" w:ascii="宋体" w:hAnsi="宋体" w:eastAsia="宋体" w:cs="宋体"/>
                <w:color w:val="auto"/>
                <w:kern w:val="0"/>
                <w:sz w:val="24"/>
                <w:szCs w:val="22"/>
                <w:highlight w:val="none"/>
                <w:lang w:val="en-US" w:eastAsia="zh-CN" w:bidi="zh-CN"/>
              </w:rPr>
              <w:t>核心产品名称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52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2"/>
                <w:highlight w:val="none"/>
                <w:lang w:val="en-US" w:eastAsia="zh-CN" w:bidi="zh-CN"/>
              </w:rPr>
            </w:pPr>
            <w:r>
              <w:rPr>
                <w:rFonts w:hint="eastAsia" w:ascii="宋体" w:hAnsi="宋体" w:eastAsia="宋体" w:cs="宋体"/>
                <w:color w:val="auto"/>
                <w:kern w:val="0"/>
                <w:sz w:val="24"/>
                <w:szCs w:val="22"/>
                <w:highlight w:val="none"/>
                <w:lang w:val="en-US" w:eastAsia="zh-CN" w:bidi="zh-CN"/>
              </w:rPr>
              <w:t>13</w:t>
            </w:r>
          </w:p>
        </w:tc>
        <w:tc>
          <w:tcPr>
            <w:tcW w:w="610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2"/>
                <w:highlight w:val="none"/>
                <w:lang w:val="en-US" w:eastAsia="zh-CN" w:bidi="zh-CN"/>
              </w:rPr>
            </w:pPr>
            <w:r>
              <w:rPr>
                <w:rFonts w:hint="eastAsia" w:ascii="宋体" w:hAnsi="宋体" w:eastAsia="宋体" w:cs="Times New Roman"/>
                <w:color w:val="000000"/>
                <w:szCs w:val="21"/>
                <w:highlight w:val="none"/>
              </w:rPr>
              <w:t>▲六项呼吸道病原体核酸检测试剂盒（PCR-荧光探针法）</w:t>
            </w:r>
          </w:p>
        </w:tc>
      </w:tr>
    </w:tbl>
    <w:p>
      <w:pPr>
        <w:pStyle w:val="13"/>
        <w:ind w:firstLine="470" w:firstLineChars="196"/>
        <w:jc w:val="center"/>
        <w:rPr>
          <w:rFonts w:hint="eastAsia" w:ascii="宋体" w:hAnsi="宋体" w:eastAsia="宋体" w:cs="宋体"/>
          <w:color w:val="auto"/>
          <w:kern w:val="0"/>
          <w:sz w:val="24"/>
          <w:szCs w:val="22"/>
          <w:highlight w:val="none"/>
          <w:lang w:val="en-US" w:eastAsia="zh-CN" w:bidi="zh-CN"/>
        </w:rPr>
      </w:pPr>
    </w:p>
    <w:p>
      <w:pPr>
        <w:pStyle w:val="13"/>
        <w:ind w:firstLine="470" w:firstLineChars="196"/>
        <w:rPr>
          <w:rFonts w:hint="eastAsia" w:ascii="宋体" w:hAnsi="宋体" w:eastAsia="宋体" w:cs="宋体"/>
          <w:color w:val="auto"/>
          <w:kern w:val="0"/>
          <w:sz w:val="24"/>
          <w:szCs w:val="22"/>
          <w:highlight w:val="none"/>
          <w:lang w:val="en-US" w:eastAsia="zh-CN" w:bidi="zh-CN"/>
        </w:rPr>
      </w:pPr>
      <w:r>
        <w:rPr>
          <w:rFonts w:hint="eastAsia" w:ascii="宋体" w:hAnsi="宋体" w:eastAsia="宋体" w:cs="宋体"/>
          <w:color w:val="auto"/>
          <w:kern w:val="0"/>
          <w:sz w:val="24"/>
          <w:szCs w:val="22"/>
          <w:highlight w:val="none"/>
          <w:lang w:val="en-US" w:eastAsia="zh-CN" w:bidi="zh-CN"/>
        </w:rPr>
        <w:t>备注：1.本表序号为采购需求一览表中对应的产品序号；</w:t>
      </w:r>
    </w:p>
    <w:p>
      <w:pPr>
        <w:ind w:firstLine="1200" w:firstLineChars="500"/>
        <w:rPr>
          <w:rFonts w:hint="eastAsia"/>
          <w:color w:val="auto"/>
          <w:highlight w:val="none"/>
        </w:rPr>
      </w:pPr>
      <w:r>
        <w:rPr>
          <w:rFonts w:hint="eastAsia" w:ascii="宋体" w:hAnsi="宋体" w:eastAsia="宋体" w:cs="宋体"/>
          <w:color w:val="auto"/>
          <w:kern w:val="0"/>
          <w:sz w:val="24"/>
          <w:szCs w:val="22"/>
          <w:highlight w:val="none"/>
          <w:lang w:val="en-US" w:eastAsia="zh-CN" w:bidi="zh-CN"/>
        </w:rPr>
        <w:t xml:space="preserve">2.上表应根据具体项目和评标办法合理填写。       </w:t>
      </w:r>
    </w:p>
    <w:p>
      <w:pPr>
        <w:pStyle w:val="6"/>
        <w:keepNext w:val="0"/>
        <w:keepLines w:val="0"/>
        <w:pageBreakBefore/>
        <w:widowControl w:val="0"/>
        <w:kinsoku/>
        <w:wordWrap/>
        <w:overflowPunct/>
        <w:topLinePunct w:val="0"/>
        <w:autoSpaceDE w:val="0"/>
        <w:autoSpaceDN w:val="0"/>
        <w:bidi w:val="0"/>
        <w:adjustRightInd/>
        <w:snapToGrid/>
        <w:ind w:right="295"/>
        <w:jc w:val="center"/>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lang w:eastAsia="zh-CN"/>
        </w:rPr>
        <w:t>三、</w:t>
      </w:r>
      <w:r>
        <w:rPr>
          <w:rFonts w:hint="eastAsia" w:ascii="宋体" w:hAnsi="宋体" w:eastAsia="宋体" w:cs="宋体"/>
          <w:b/>
          <w:bCs/>
          <w:color w:val="000000"/>
          <w:highlight w:val="none"/>
        </w:rPr>
        <w:t>评标办法</w:t>
      </w:r>
    </w:p>
    <w:p>
      <w:pPr>
        <w:spacing w:line="360" w:lineRule="auto"/>
        <w:ind w:firstLine="562" w:firstLineChars="200"/>
        <w:jc w:val="center"/>
        <w:rPr>
          <w:rFonts w:hint="eastAsia" w:ascii="宋体" w:hAnsi="宋体"/>
          <w:b/>
          <w:color w:val="000000"/>
          <w:sz w:val="24"/>
          <w:szCs w:val="24"/>
          <w:highlight w:val="none"/>
        </w:rPr>
      </w:pPr>
      <w:r>
        <w:rPr>
          <w:rFonts w:hint="eastAsia" w:ascii="宋体" w:hAnsi="宋体"/>
          <w:b/>
          <w:color w:val="000000"/>
          <w:sz w:val="28"/>
          <w:szCs w:val="28"/>
          <w:highlight w:val="none"/>
        </w:rPr>
        <w:t>综合</w:t>
      </w:r>
      <w:r>
        <w:rPr>
          <w:rFonts w:hint="eastAsia"/>
          <w:b/>
          <w:color w:val="000000"/>
          <w:sz w:val="28"/>
          <w:szCs w:val="28"/>
          <w:highlight w:val="none"/>
          <w:lang w:eastAsia="zh-CN"/>
        </w:rPr>
        <w:t>评估</w:t>
      </w:r>
      <w:r>
        <w:rPr>
          <w:rFonts w:hint="eastAsia" w:ascii="宋体" w:hAnsi="宋体"/>
          <w:b/>
          <w:color w:val="000000"/>
          <w:sz w:val="28"/>
          <w:szCs w:val="28"/>
          <w:highlight w:val="none"/>
        </w:rPr>
        <w:t>法</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 xml:space="preserve">1.评审原则 </w:t>
      </w:r>
    </w:p>
    <w:p>
      <w:pPr>
        <w:spacing w:line="360" w:lineRule="auto"/>
        <w:ind w:firstLine="420" w:firstLineChars="200"/>
        <w:rPr>
          <w:rFonts w:ascii="宋体" w:hAnsi="宋体"/>
          <w:color w:val="FF0000"/>
          <w:sz w:val="21"/>
          <w:szCs w:val="21"/>
          <w:highlight w:val="none"/>
        </w:rPr>
      </w:pPr>
      <w:r>
        <w:rPr>
          <w:rFonts w:hint="eastAsia" w:ascii="宋体" w:hAnsi="宋体"/>
          <w:color w:val="FF0000"/>
          <w:sz w:val="21"/>
          <w:szCs w:val="21"/>
          <w:highlight w:val="none"/>
        </w:rPr>
        <w:t>1.1合法、合规原则。</w:t>
      </w:r>
    </w:p>
    <w:p>
      <w:pPr>
        <w:spacing w:line="360" w:lineRule="auto"/>
        <w:ind w:firstLine="420" w:firstLineChars="200"/>
        <w:rPr>
          <w:rFonts w:ascii="宋体" w:hAnsi="宋体"/>
          <w:color w:val="FF0000"/>
          <w:sz w:val="21"/>
          <w:szCs w:val="21"/>
          <w:highlight w:val="none"/>
        </w:rPr>
      </w:pPr>
      <w:r>
        <w:rPr>
          <w:rFonts w:hint="eastAsia" w:ascii="宋体" w:hAnsi="宋体"/>
          <w:color w:val="FF0000"/>
          <w:sz w:val="21"/>
          <w:szCs w:val="21"/>
          <w:highlight w:val="none"/>
        </w:rPr>
        <w:t>1.</w:t>
      </w:r>
      <w:r>
        <w:rPr>
          <w:rFonts w:hint="eastAsia"/>
          <w:color w:val="FF0000"/>
          <w:sz w:val="21"/>
          <w:szCs w:val="21"/>
          <w:highlight w:val="none"/>
          <w:lang w:val="en-US" w:eastAsia="zh-CN"/>
        </w:rPr>
        <w:t>2</w:t>
      </w:r>
      <w:r>
        <w:rPr>
          <w:rFonts w:hint="eastAsia" w:ascii="宋体" w:hAnsi="宋体"/>
          <w:color w:val="FF0000"/>
          <w:sz w:val="21"/>
          <w:szCs w:val="21"/>
          <w:highlight w:val="none"/>
        </w:rPr>
        <w:t>公平、公正、科学、审慎、择优原则。</w:t>
      </w:r>
    </w:p>
    <w:p>
      <w:pPr>
        <w:spacing w:line="360" w:lineRule="auto"/>
        <w:ind w:firstLine="420" w:firstLineChars="200"/>
        <w:rPr>
          <w:rFonts w:ascii="宋体" w:hAnsi="宋体"/>
          <w:color w:val="000000"/>
          <w:sz w:val="21"/>
          <w:szCs w:val="21"/>
          <w:highlight w:val="none"/>
        </w:rPr>
      </w:pPr>
      <w:r>
        <w:rPr>
          <w:rFonts w:hint="eastAsia" w:ascii="宋体" w:hAnsi="宋体"/>
          <w:color w:val="FF0000"/>
          <w:sz w:val="21"/>
          <w:szCs w:val="21"/>
          <w:highlight w:val="none"/>
        </w:rPr>
        <w:t>1.</w:t>
      </w:r>
      <w:r>
        <w:rPr>
          <w:rFonts w:hint="eastAsia"/>
          <w:color w:val="FF0000"/>
          <w:sz w:val="21"/>
          <w:szCs w:val="21"/>
          <w:highlight w:val="none"/>
          <w:lang w:val="en-US" w:eastAsia="zh-CN"/>
        </w:rPr>
        <w:t>3</w:t>
      </w:r>
      <w:r>
        <w:rPr>
          <w:rFonts w:hint="eastAsia" w:ascii="宋体" w:hAnsi="宋体"/>
          <w:color w:val="FF0000"/>
          <w:sz w:val="21"/>
          <w:szCs w:val="21"/>
          <w:highlight w:val="none"/>
        </w:rPr>
        <w:t>高分优先原则。衡量投标文件满足招标文件规定各项评审标准的程度，折算为综合得分分值，依据每个</w:t>
      </w:r>
      <w:r>
        <w:rPr>
          <w:rFonts w:hint="eastAsia"/>
          <w:color w:val="FF0000"/>
          <w:sz w:val="21"/>
          <w:szCs w:val="21"/>
          <w:highlight w:val="none"/>
          <w:lang w:eastAsia="zh-CN"/>
        </w:rPr>
        <w:t>投标人</w:t>
      </w:r>
      <w:r>
        <w:rPr>
          <w:rFonts w:hint="eastAsia" w:ascii="宋体" w:hAnsi="宋体"/>
          <w:color w:val="FF0000"/>
          <w:sz w:val="21"/>
          <w:szCs w:val="21"/>
          <w:highlight w:val="none"/>
        </w:rPr>
        <w:t>的综合得分由高到低，依次确定排名顺序</w:t>
      </w:r>
      <w:r>
        <w:rPr>
          <w:rFonts w:hint="eastAsia" w:ascii="宋体" w:hAnsi="宋体"/>
          <w:color w:val="000000"/>
          <w:sz w:val="21"/>
          <w:szCs w:val="21"/>
          <w:highlight w:val="none"/>
        </w:rPr>
        <w:t>。</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2.评审分值分配（满分100分）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2.1商务标（</w:t>
      </w:r>
      <w:r>
        <w:rPr>
          <w:rFonts w:hint="eastAsia"/>
          <w:color w:val="000000"/>
          <w:sz w:val="21"/>
          <w:szCs w:val="21"/>
          <w:highlight w:val="none"/>
          <w:lang w:val="en-US" w:eastAsia="zh-CN"/>
        </w:rPr>
        <w:t>34</w:t>
      </w:r>
      <w:r>
        <w:rPr>
          <w:rFonts w:hint="eastAsia" w:ascii="宋体" w:hAnsi="宋体"/>
          <w:color w:val="000000"/>
          <w:sz w:val="21"/>
          <w:szCs w:val="21"/>
          <w:highlight w:val="none"/>
        </w:rPr>
        <w:t>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2.2技术标（</w:t>
      </w:r>
      <w:r>
        <w:rPr>
          <w:rFonts w:hint="eastAsia"/>
          <w:color w:val="000000"/>
          <w:sz w:val="21"/>
          <w:szCs w:val="21"/>
          <w:highlight w:val="none"/>
          <w:lang w:val="en-US" w:eastAsia="zh-CN"/>
        </w:rPr>
        <w:t>66</w:t>
      </w:r>
      <w:r>
        <w:rPr>
          <w:rFonts w:hint="eastAsia" w:ascii="宋体" w:hAnsi="宋体"/>
          <w:color w:val="000000"/>
          <w:sz w:val="21"/>
          <w:szCs w:val="21"/>
          <w:highlight w:val="none"/>
        </w:rPr>
        <w:t>分）</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3.评审内容（数值计算结果均保留两位小数，第三位四舍五入）</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3.1资格性和符合性审查内容及标准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评标委员会对投标文件的</w:t>
      </w:r>
      <w:r>
        <w:rPr>
          <w:rFonts w:hint="eastAsia"/>
          <w:color w:val="000000"/>
          <w:sz w:val="21"/>
          <w:szCs w:val="21"/>
          <w:highlight w:val="none"/>
          <w:lang w:eastAsia="zh-CN"/>
        </w:rPr>
        <w:t>资格性响应和</w:t>
      </w:r>
      <w:r>
        <w:rPr>
          <w:rFonts w:hint="eastAsia" w:ascii="宋体" w:hAnsi="宋体"/>
          <w:color w:val="000000"/>
          <w:sz w:val="21"/>
          <w:szCs w:val="21"/>
          <w:highlight w:val="none"/>
        </w:rPr>
        <w:t>符合性响应作合格性审查, 审查结论分为“合格”与“不合格”。审查不合格的投标文件应做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r>
        <w:rPr>
          <w:rFonts w:hint="eastAsia"/>
          <w:color w:val="000000"/>
          <w:sz w:val="21"/>
          <w:szCs w:val="21"/>
          <w:highlight w:val="none"/>
          <w:lang w:eastAsia="zh-CN"/>
        </w:rPr>
        <w:t>，</w:t>
      </w:r>
      <w:r>
        <w:rPr>
          <w:rFonts w:hint="eastAsia" w:ascii="宋体" w:hAnsi="宋体"/>
          <w:color w:val="000000"/>
          <w:sz w:val="21"/>
          <w:szCs w:val="21"/>
          <w:highlight w:val="none"/>
        </w:rPr>
        <w:t>不再进行后续评审。</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有下列情形之一的，应做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p>
    <w:tbl>
      <w:tblPr>
        <w:tblStyle w:val="9"/>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770" w:type="dxa"/>
            <w:gridSpan w:val="2"/>
            <w:noWrap w:val="0"/>
            <w:vAlign w:val="center"/>
          </w:tcPr>
          <w:p>
            <w:pPr>
              <w:jc w:val="center"/>
              <w:rPr>
                <w:color w:val="000000"/>
                <w:sz w:val="21"/>
                <w:szCs w:val="21"/>
                <w:highlight w:val="none"/>
              </w:rPr>
            </w:pPr>
            <w:r>
              <w:rPr>
                <w:color w:val="000000"/>
                <w:sz w:val="21"/>
                <w:szCs w:val="21"/>
                <w:highlight w:val="none"/>
              </w:rPr>
              <w:t>审查内容</w:t>
            </w:r>
          </w:p>
        </w:tc>
        <w:tc>
          <w:tcPr>
            <w:tcW w:w="4771" w:type="dxa"/>
            <w:noWrap w:val="0"/>
            <w:vAlign w:val="center"/>
          </w:tcPr>
          <w:p>
            <w:pPr>
              <w:jc w:val="center"/>
              <w:rPr>
                <w:color w:val="000000"/>
                <w:sz w:val="21"/>
                <w:szCs w:val="21"/>
                <w:highlight w:val="none"/>
              </w:rPr>
            </w:pPr>
            <w:r>
              <w:rPr>
                <w:color w:val="000000"/>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961" w:type="dxa"/>
            <w:vMerge w:val="restart"/>
            <w:noWrap w:val="0"/>
            <w:vAlign w:val="center"/>
          </w:tcPr>
          <w:p>
            <w:pPr>
              <w:jc w:val="left"/>
              <w:rPr>
                <w:color w:val="000000"/>
                <w:sz w:val="21"/>
                <w:szCs w:val="21"/>
                <w:highlight w:val="none"/>
              </w:rPr>
            </w:pPr>
            <w:r>
              <w:rPr>
                <w:color w:val="000000"/>
                <w:sz w:val="21"/>
                <w:szCs w:val="21"/>
                <w:highlight w:val="none"/>
              </w:rPr>
              <w:t>资格性审查</w:t>
            </w:r>
          </w:p>
        </w:tc>
        <w:tc>
          <w:tcPr>
            <w:tcW w:w="3809" w:type="dxa"/>
            <w:noWrap w:val="0"/>
            <w:vAlign w:val="center"/>
          </w:tcPr>
          <w:p>
            <w:pPr>
              <w:jc w:val="left"/>
              <w:rPr>
                <w:color w:val="000000"/>
                <w:sz w:val="21"/>
                <w:szCs w:val="21"/>
                <w:highlight w:val="none"/>
              </w:rPr>
            </w:pPr>
            <w:r>
              <w:rPr>
                <w:color w:val="000000"/>
                <w:sz w:val="21"/>
                <w:szCs w:val="21"/>
                <w:highlight w:val="none"/>
              </w:rPr>
              <w:t>营业执照</w:t>
            </w:r>
          </w:p>
        </w:tc>
        <w:tc>
          <w:tcPr>
            <w:tcW w:w="4771" w:type="dxa"/>
            <w:noWrap w:val="0"/>
            <w:vAlign w:val="center"/>
          </w:tcPr>
          <w:p>
            <w:pPr>
              <w:tabs>
                <w:tab w:val="center" w:pos="2378"/>
              </w:tabs>
              <w:jc w:val="left"/>
              <w:rPr>
                <w:color w:val="000000"/>
                <w:sz w:val="21"/>
                <w:szCs w:val="21"/>
                <w:highlight w:val="none"/>
              </w:rPr>
            </w:pPr>
            <w:r>
              <w:rPr>
                <w:color w:val="000000"/>
                <w:sz w:val="21"/>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资格</w:t>
            </w:r>
            <w:r>
              <w:rPr>
                <w:color w:val="000000"/>
                <w:sz w:val="21"/>
                <w:szCs w:val="21"/>
                <w:highlight w:val="none"/>
              </w:rPr>
              <w:t>条件</w:t>
            </w:r>
          </w:p>
        </w:tc>
        <w:tc>
          <w:tcPr>
            <w:tcW w:w="4771" w:type="dxa"/>
            <w:noWrap w:val="0"/>
            <w:vAlign w:val="center"/>
          </w:tcPr>
          <w:p>
            <w:pPr>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法定代表人或授权委托人资格</w:t>
            </w:r>
          </w:p>
        </w:tc>
        <w:tc>
          <w:tcPr>
            <w:tcW w:w="4771" w:type="dxa"/>
            <w:noWrap w:val="0"/>
            <w:vAlign w:val="center"/>
          </w:tcPr>
          <w:p>
            <w:pPr>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ind w:left="0" w:leftChars="0" w:right="0" w:rightChars="0"/>
              <w:jc w:val="left"/>
              <w:rPr>
                <w:color w:val="000000"/>
                <w:sz w:val="21"/>
                <w:szCs w:val="21"/>
                <w:highlight w:val="none"/>
              </w:rPr>
            </w:pPr>
            <w:r>
              <w:rPr>
                <w:rFonts w:hint="eastAsia"/>
                <w:color w:val="000000"/>
                <w:sz w:val="21"/>
                <w:szCs w:val="21"/>
                <w:highlight w:val="none"/>
                <w:lang w:val="en-US" w:eastAsia="zh-CN"/>
              </w:rPr>
              <w:t>投标保证金</w:t>
            </w:r>
          </w:p>
        </w:tc>
        <w:tc>
          <w:tcPr>
            <w:tcW w:w="4771" w:type="dxa"/>
            <w:noWrap w:val="0"/>
            <w:vAlign w:val="center"/>
          </w:tcPr>
          <w:p>
            <w:pPr>
              <w:ind w:left="0" w:leftChars="0" w:right="0" w:rightChars="0"/>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ind w:left="0" w:leftChars="0" w:right="0" w:rightChars="0"/>
              <w:jc w:val="left"/>
              <w:rPr>
                <w:color w:val="000000"/>
                <w:sz w:val="21"/>
                <w:szCs w:val="21"/>
                <w:highlight w:val="none"/>
              </w:rPr>
            </w:pPr>
            <w:r>
              <w:rPr>
                <w:color w:val="000000"/>
                <w:sz w:val="21"/>
                <w:szCs w:val="21"/>
                <w:highlight w:val="none"/>
              </w:rPr>
              <w:t>其他</w:t>
            </w:r>
            <w:r>
              <w:rPr>
                <w:rFonts w:hint="eastAsia"/>
                <w:color w:val="000000"/>
                <w:sz w:val="21"/>
                <w:szCs w:val="21"/>
                <w:highlight w:val="none"/>
                <w:lang w:eastAsia="zh-CN"/>
              </w:rPr>
              <w:t>要求</w:t>
            </w:r>
          </w:p>
        </w:tc>
        <w:tc>
          <w:tcPr>
            <w:tcW w:w="4771" w:type="dxa"/>
            <w:noWrap w:val="0"/>
            <w:vAlign w:val="center"/>
          </w:tcPr>
          <w:p>
            <w:pPr>
              <w:spacing w:line="360" w:lineRule="exact"/>
              <w:ind w:left="0" w:leftChars="0" w:right="0" w:rightChars="0"/>
              <w:rPr>
                <w:color w:val="000000"/>
                <w:sz w:val="21"/>
                <w:szCs w:val="21"/>
                <w:highlight w:val="none"/>
              </w:rPr>
            </w:pPr>
            <w:r>
              <w:rPr>
                <w:color w:val="000000"/>
                <w:sz w:val="21"/>
                <w:szCs w:val="21"/>
                <w:highlight w:val="none"/>
              </w:rPr>
              <w:t>不符合招标文件要求</w:t>
            </w:r>
          </w:p>
        </w:tc>
      </w:tr>
    </w:tbl>
    <w:p>
      <w:pPr>
        <w:spacing w:line="360" w:lineRule="auto"/>
        <w:rPr>
          <w:rFonts w:ascii="宋体" w:hAnsi="宋体"/>
          <w:color w:val="000000"/>
          <w:sz w:val="21"/>
          <w:szCs w:val="21"/>
          <w:highlight w:val="none"/>
        </w:rPr>
      </w:pPr>
    </w:p>
    <w:tbl>
      <w:tblPr>
        <w:tblStyle w:val="9"/>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restart"/>
            <w:noWrap w:val="0"/>
            <w:vAlign w:val="center"/>
          </w:tcPr>
          <w:p>
            <w:pPr>
              <w:jc w:val="left"/>
              <w:rPr>
                <w:color w:val="000000"/>
                <w:sz w:val="21"/>
                <w:szCs w:val="21"/>
                <w:highlight w:val="none"/>
              </w:rPr>
            </w:pPr>
            <w:r>
              <w:rPr>
                <w:color w:val="000000"/>
                <w:sz w:val="21"/>
                <w:szCs w:val="21"/>
                <w:highlight w:val="none"/>
              </w:rPr>
              <w:t>符合性审查</w:t>
            </w:r>
          </w:p>
        </w:tc>
        <w:tc>
          <w:tcPr>
            <w:tcW w:w="3809" w:type="dxa"/>
            <w:noWrap w:val="0"/>
            <w:vAlign w:val="center"/>
          </w:tcPr>
          <w:p>
            <w:pPr>
              <w:jc w:val="left"/>
              <w:rPr>
                <w:color w:val="000000"/>
                <w:sz w:val="21"/>
                <w:szCs w:val="21"/>
                <w:highlight w:val="none"/>
              </w:rPr>
            </w:pPr>
            <w:r>
              <w:rPr>
                <w:rFonts w:hint="eastAsia"/>
                <w:color w:val="000000"/>
                <w:sz w:val="21"/>
                <w:szCs w:val="21"/>
                <w:highlight w:val="none"/>
                <w:lang w:eastAsia="zh-CN"/>
              </w:rPr>
              <w:t>投标人</w:t>
            </w:r>
            <w:r>
              <w:rPr>
                <w:color w:val="000000"/>
                <w:sz w:val="21"/>
                <w:szCs w:val="21"/>
                <w:highlight w:val="none"/>
              </w:rPr>
              <w:t>名称</w:t>
            </w:r>
          </w:p>
        </w:tc>
        <w:tc>
          <w:tcPr>
            <w:tcW w:w="4771" w:type="dxa"/>
            <w:noWrap w:val="0"/>
            <w:vAlign w:val="center"/>
          </w:tcPr>
          <w:p>
            <w:pPr>
              <w:jc w:val="left"/>
              <w:rPr>
                <w:color w:val="000000"/>
                <w:sz w:val="21"/>
                <w:szCs w:val="21"/>
                <w:highlight w:val="none"/>
              </w:rPr>
            </w:pPr>
            <w:r>
              <w:rPr>
                <w:color w:val="000000"/>
                <w:sz w:val="21"/>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投标文件签署</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未按招标文件规定格式进行签字（签章）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投标文件格式</w:t>
            </w:r>
          </w:p>
        </w:tc>
        <w:tc>
          <w:tcPr>
            <w:tcW w:w="4771" w:type="dxa"/>
            <w:noWrap w:val="0"/>
            <w:vAlign w:val="center"/>
          </w:tcPr>
          <w:p>
            <w:pPr>
              <w:jc w:val="left"/>
              <w:rPr>
                <w:color w:val="000000"/>
                <w:sz w:val="21"/>
                <w:szCs w:val="21"/>
                <w:highlight w:val="none"/>
              </w:rPr>
            </w:pPr>
            <w:r>
              <w:rPr>
                <w:color w:val="000000"/>
                <w:sz w:val="21"/>
                <w:szCs w:val="21"/>
                <w:highlight w:val="none"/>
              </w:rPr>
              <w:t>未按规定格式填写，实质性内容不全或关键字迹模糊、无法辨认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投标方案及报价</w:t>
            </w:r>
          </w:p>
        </w:tc>
        <w:tc>
          <w:tcPr>
            <w:tcW w:w="4771" w:type="dxa"/>
            <w:noWrap w:val="0"/>
            <w:vAlign w:val="center"/>
          </w:tcPr>
          <w:p>
            <w:pPr>
              <w:jc w:val="left"/>
              <w:rPr>
                <w:color w:val="000000"/>
                <w:sz w:val="21"/>
                <w:szCs w:val="21"/>
                <w:highlight w:val="none"/>
              </w:rPr>
            </w:pPr>
            <w:r>
              <w:rPr>
                <w:color w:val="000000"/>
                <w:sz w:val="21"/>
                <w:szCs w:val="21"/>
                <w:highlight w:val="none"/>
              </w:rPr>
              <w:t>报价超过招标文件中规定的预算金额或者最高限价</w:t>
            </w:r>
            <w:r>
              <w:rPr>
                <w:rFonts w:hint="eastAsia"/>
                <w:color w:val="000000"/>
                <w:sz w:val="21"/>
                <w:szCs w:val="21"/>
                <w:highlight w:val="none"/>
              </w:rPr>
              <w:t>；</w:t>
            </w:r>
            <w:r>
              <w:rPr>
                <w:color w:val="000000"/>
                <w:sz w:val="21"/>
                <w:szCs w:val="21"/>
                <w:highlight w:val="none"/>
              </w:rPr>
              <w:t>递交两份或多份内容不同的投标文件，或在一份投标文件中对同一招标项目有两个或多个报价，且未声明哪一个有效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投标有效期</w:t>
            </w:r>
          </w:p>
        </w:tc>
        <w:tc>
          <w:tcPr>
            <w:tcW w:w="4771" w:type="dxa"/>
            <w:noWrap w:val="0"/>
            <w:vAlign w:val="center"/>
          </w:tcPr>
          <w:p>
            <w:pPr>
              <w:jc w:val="left"/>
              <w:rPr>
                <w:color w:val="000000"/>
                <w:sz w:val="21"/>
                <w:szCs w:val="21"/>
                <w:highlight w:val="none"/>
              </w:rPr>
            </w:pPr>
            <w:r>
              <w:rPr>
                <w:color w:val="000000"/>
                <w:sz w:val="21"/>
                <w:szCs w:val="21"/>
                <w:highlight w:val="none"/>
              </w:rPr>
              <w:t>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交货</w:t>
            </w:r>
            <w:r>
              <w:rPr>
                <w:rFonts w:hint="eastAsia"/>
                <w:color w:val="000000"/>
                <w:sz w:val="21"/>
                <w:szCs w:val="21"/>
                <w:highlight w:val="none"/>
                <w:lang w:val="en-US" w:eastAsia="zh-CN"/>
              </w:rPr>
              <w:t>期、</w:t>
            </w:r>
            <w:r>
              <w:rPr>
                <w:color w:val="000000"/>
                <w:sz w:val="21"/>
                <w:szCs w:val="21"/>
                <w:highlight w:val="none"/>
              </w:rPr>
              <w:t>地点、质保期或付款方式</w:t>
            </w:r>
          </w:p>
        </w:tc>
        <w:tc>
          <w:tcPr>
            <w:tcW w:w="4771" w:type="dxa"/>
            <w:noWrap w:val="0"/>
            <w:vAlign w:val="center"/>
          </w:tcPr>
          <w:p>
            <w:pPr>
              <w:jc w:val="left"/>
              <w:rPr>
                <w:color w:val="000000"/>
                <w:sz w:val="21"/>
                <w:szCs w:val="21"/>
                <w:highlight w:val="none"/>
              </w:rPr>
            </w:pPr>
            <w:r>
              <w:rPr>
                <w:color w:val="000000"/>
                <w:sz w:val="21"/>
                <w:szCs w:val="21"/>
                <w:highlight w:val="none"/>
              </w:rPr>
              <w:t>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投标文件创建标识码</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投标文件创建标识码相同的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投标文件的机器识别码</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的机器识别码相同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其他实质性响应</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不符合招标文件的要求</w:t>
            </w:r>
          </w:p>
        </w:tc>
      </w:tr>
    </w:tbl>
    <w:p>
      <w:pPr>
        <w:spacing w:line="360" w:lineRule="auto"/>
        <w:ind w:firstLine="420" w:firstLineChars="200"/>
        <w:rPr>
          <w:rFonts w:hint="eastAsia" w:ascii="宋体" w:hAnsi="宋体"/>
          <w:color w:val="000000"/>
          <w:sz w:val="21"/>
          <w:szCs w:val="21"/>
          <w:highlight w:val="none"/>
        </w:rPr>
      </w:pP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3.2商务标评审内容及标准（</w:t>
      </w:r>
      <w:r>
        <w:rPr>
          <w:rFonts w:hint="eastAsia"/>
          <w:color w:val="000000"/>
          <w:sz w:val="21"/>
          <w:szCs w:val="21"/>
          <w:highlight w:val="none"/>
          <w:u w:val="single"/>
          <w:lang w:val="en-US" w:eastAsia="zh-CN"/>
        </w:rPr>
        <w:t>34</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分）</w:t>
      </w:r>
    </w:p>
    <w:tbl>
      <w:tblPr>
        <w:tblStyle w:val="9"/>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816"/>
        <w:gridCol w:w="954"/>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评审项目</w:t>
            </w:r>
          </w:p>
        </w:tc>
        <w:tc>
          <w:tcPr>
            <w:tcW w:w="954"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分值</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leftChars="0" w:right="0" w:rightChars="0"/>
              <w:rPr>
                <w:color w:val="000000"/>
                <w:sz w:val="21"/>
                <w:szCs w:val="21"/>
                <w:highlight w:val="none"/>
              </w:rPr>
            </w:pPr>
            <w:r>
              <w:rPr>
                <w:rFonts w:hint="eastAsia"/>
                <w:color w:val="000000"/>
                <w:sz w:val="21"/>
                <w:szCs w:val="21"/>
              </w:rPr>
              <w:t>投标报价</w:t>
            </w:r>
          </w:p>
        </w:tc>
        <w:tc>
          <w:tcPr>
            <w:tcW w:w="95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leftChars="0" w:right="0" w:rightChars="0"/>
              <w:rPr>
                <w:rFonts w:hint="eastAsia" w:eastAsia="宋体"/>
                <w:color w:val="000000"/>
                <w:sz w:val="21"/>
                <w:szCs w:val="21"/>
                <w:highlight w:val="none"/>
                <w:lang w:val="en-US" w:eastAsia="zh-CN"/>
              </w:rPr>
            </w:pPr>
            <w:r>
              <w:rPr>
                <w:rFonts w:hint="eastAsia"/>
                <w:color w:val="000000"/>
                <w:sz w:val="21"/>
                <w:szCs w:val="21"/>
                <w:highlight w:val="none"/>
                <w:lang w:val="en-US" w:eastAsia="zh-CN"/>
              </w:rPr>
              <w:t>30分</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pStyle w:val="7"/>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本项评审步骤：</w:t>
            </w:r>
          </w:p>
          <w:p>
            <w:pPr>
              <w:pStyle w:val="7"/>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1.投标报价的</w:t>
            </w:r>
            <w:r>
              <w:rPr>
                <w:rFonts w:hint="eastAsia" w:ascii="宋体" w:hAnsi="宋体" w:eastAsia="宋体" w:cs="宋体"/>
                <w:color w:val="auto"/>
                <w:sz w:val="21"/>
                <w:szCs w:val="21"/>
                <w:highlight w:val="none"/>
                <w:lang w:val="en-US" w:eastAsia="zh-CN" w:bidi="zh-CN"/>
              </w:rPr>
              <w:t>修正和</w:t>
            </w:r>
            <w:r>
              <w:rPr>
                <w:rFonts w:hint="eastAsia" w:ascii="宋体" w:hAnsi="宋体" w:eastAsia="宋体" w:cs="宋体"/>
                <w:color w:val="auto"/>
                <w:sz w:val="21"/>
                <w:szCs w:val="21"/>
                <w:highlight w:val="none"/>
                <w:lang w:val="zh-CN" w:eastAsia="zh-CN" w:bidi="zh-CN"/>
              </w:rPr>
              <w:t>调整：</w:t>
            </w:r>
          </w:p>
          <w:p>
            <w:pPr>
              <w:pStyle w:val="7"/>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1.1</w:t>
            </w:r>
            <w:r>
              <w:rPr>
                <w:rFonts w:hint="eastAsia" w:ascii="宋体" w:hAnsi="宋体" w:eastAsia="宋体" w:cs="宋体"/>
                <w:color w:val="auto"/>
                <w:sz w:val="21"/>
                <w:szCs w:val="21"/>
                <w:highlight w:val="none"/>
                <w:lang w:val="en-US" w:eastAsia="zh-CN" w:bidi="zh-CN"/>
              </w:rPr>
              <w:t>投标报价的修正</w:t>
            </w:r>
            <w:r>
              <w:rPr>
                <w:rFonts w:hint="eastAsia" w:ascii="宋体" w:hAnsi="宋体" w:eastAsia="宋体" w:cs="宋体"/>
                <w:color w:val="auto"/>
                <w:sz w:val="21"/>
                <w:szCs w:val="21"/>
                <w:highlight w:val="none"/>
                <w:lang w:val="zh-CN" w:eastAsia="zh-CN" w:bidi="zh-CN"/>
              </w:rPr>
              <w:t>：</w:t>
            </w:r>
          </w:p>
          <w:p>
            <w:pPr>
              <w:pStyle w:val="7"/>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投标文件报价出现前后不一致的，按照下列规定修正：</w:t>
            </w:r>
          </w:p>
          <w:p>
            <w:pPr>
              <w:pStyle w:val="7"/>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①投标文件中开标一览表（报价表）内容与投标文件中相应内容不一致的，以开标一览表（报价表）为准；</w:t>
            </w:r>
          </w:p>
          <w:p>
            <w:pPr>
              <w:pStyle w:val="7"/>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②大写金额和小写金额不一致的，以大写金额为准；</w:t>
            </w:r>
          </w:p>
          <w:p>
            <w:pPr>
              <w:pStyle w:val="7"/>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③单价金额小数点或者百分比有明显错位的，以开标一览表的总价为准，并修改单价；</w:t>
            </w:r>
          </w:p>
          <w:p>
            <w:pPr>
              <w:pStyle w:val="7"/>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④总价金额与按单价汇总金额不一致的，以单价金额计算结果为准。</w:t>
            </w:r>
          </w:p>
          <w:p>
            <w:pPr>
              <w:pStyle w:val="7"/>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同时出现两种以上不一致的，按照上述规定的顺序修正。修正后的报价按照规定经投标人确认后产生约束力，投标人不确认的，其投标无效。</w:t>
            </w:r>
          </w:p>
          <w:p>
            <w:pPr>
              <w:pStyle w:val="7"/>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满足招标文件要求且投标价格最低的投标报价为评标基准价，其价格分为满分。其他投标人的价格分统一按照下列公式计算：</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投标报价得分=（评标基准价/投标报价）*价格分满分分值。</w:t>
            </w:r>
          </w:p>
          <w:p>
            <w:pPr>
              <w:keepNext w:val="0"/>
              <w:keepLines w:val="0"/>
              <w:suppressLineNumbers w:val="0"/>
              <w:spacing w:before="0" w:beforeAutospacing="0" w:after="0" w:afterAutospacing="0"/>
              <w:ind w:left="0" w:leftChars="0" w:right="0" w:rightChars="0"/>
              <w:rPr>
                <w:color w:val="000000"/>
                <w:sz w:val="21"/>
                <w:szCs w:val="21"/>
                <w:highlight w:val="none"/>
              </w:rPr>
            </w:pPr>
            <w:r>
              <w:rPr>
                <w:rFonts w:hint="eastAsia" w:ascii="宋体" w:hAnsi="宋体" w:eastAsia="宋体" w:cs="宋体"/>
                <w:color w:val="auto"/>
                <w:sz w:val="21"/>
                <w:szCs w:val="21"/>
                <w:highlight w:val="none"/>
                <w:lang w:val="zh-CN" w:eastAsia="zh-CN" w:bidi="zh-CN"/>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leftChars="0" w:right="0" w:rightChars="0"/>
              <w:rPr>
                <w:color w:val="000000"/>
                <w:sz w:val="21"/>
                <w:szCs w:val="21"/>
                <w:highlight w:val="none"/>
              </w:rPr>
            </w:pPr>
            <w:r>
              <w:rPr>
                <w:rFonts w:hint="eastAsia" w:ascii="宋体" w:hAnsi="宋体" w:eastAsia="宋体" w:cs="宋体"/>
                <w:color w:val="000000"/>
                <w:sz w:val="21"/>
                <w:szCs w:val="21"/>
              </w:rPr>
              <w:t>供应商业绩</w:t>
            </w:r>
          </w:p>
        </w:tc>
        <w:tc>
          <w:tcPr>
            <w:tcW w:w="95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leftChars="0" w:right="0" w:rightChars="0"/>
              <w:rPr>
                <w:rFonts w:hint="eastAsia" w:eastAsia="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分</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pStyle w:val="7"/>
              <w:keepNext w:val="0"/>
              <w:keepLines w:val="0"/>
              <w:suppressLineNumbers w:val="0"/>
              <w:spacing w:before="0" w:beforeAutospacing="0" w:after="0" w:afterAutospacing="0"/>
              <w:ind w:left="0" w:leftChars="0" w:right="0" w:rightChars="0"/>
              <w:rPr>
                <w:color w:val="000000"/>
                <w:sz w:val="21"/>
                <w:szCs w:val="21"/>
                <w:highlight w:val="none"/>
              </w:rPr>
            </w:pPr>
            <w:r>
              <w:rPr>
                <w:color w:val="000000"/>
                <w:sz w:val="21"/>
                <w:szCs w:val="21"/>
                <w:highlight w:val="none"/>
              </w:rPr>
              <w:t>供应商</w:t>
            </w:r>
            <w:r>
              <w:rPr>
                <w:rFonts w:hint="eastAsia"/>
                <w:color w:val="000000"/>
                <w:sz w:val="21"/>
                <w:szCs w:val="21"/>
                <w:highlight w:val="none"/>
                <w:lang w:val="en-US" w:eastAsia="zh-CN"/>
              </w:rPr>
              <w:t>具备</w:t>
            </w:r>
            <w:r>
              <w:rPr>
                <w:color w:val="000000"/>
                <w:sz w:val="21"/>
                <w:szCs w:val="21"/>
                <w:highlight w:val="none"/>
              </w:rPr>
              <w:t>同类业务（</w:t>
            </w:r>
            <w:r>
              <w:rPr>
                <w:rFonts w:hint="eastAsia"/>
                <w:color w:val="000000"/>
                <w:sz w:val="21"/>
                <w:szCs w:val="21"/>
                <w:highlight w:val="none"/>
                <w:lang w:eastAsia="zh-CN"/>
              </w:rPr>
              <w:t>合同内容包含</w:t>
            </w:r>
            <w:r>
              <w:rPr>
                <w:rFonts w:hint="eastAsia"/>
                <w:color w:val="000000"/>
                <w:sz w:val="21"/>
                <w:szCs w:val="21"/>
                <w:highlight w:val="none"/>
                <w:lang w:val="en-US" w:eastAsia="zh-CN"/>
              </w:rPr>
              <w:t>实验室</w:t>
            </w:r>
            <w:r>
              <w:rPr>
                <w:rFonts w:hint="eastAsia"/>
                <w:color w:val="000000"/>
                <w:sz w:val="21"/>
                <w:szCs w:val="21"/>
                <w:highlight w:val="none"/>
                <w:lang w:eastAsia="zh-CN"/>
              </w:rPr>
              <w:t>检验试剂</w:t>
            </w:r>
            <w:r>
              <w:rPr>
                <w:color w:val="000000"/>
                <w:sz w:val="21"/>
                <w:szCs w:val="21"/>
                <w:highlight w:val="none"/>
              </w:rPr>
              <w:t>）</w:t>
            </w:r>
            <w:r>
              <w:rPr>
                <w:rFonts w:hint="eastAsia"/>
                <w:color w:val="000000"/>
                <w:sz w:val="21"/>
                <w:szCs w:val="21"/>
                <w:highlight w:val="none"/>
                <w:lang w:val="en-US" w:eastAsia="zh-CN"/>
              </w:rPr>
              <w:t>供货业绩的，提供业绩</w:t>
            </w:r>
            <w:r>
              <w:rPr>
                <w:color w:val="000000"/>
                <w:sz w:val="21"/>
                <w:szCs w:val="21"/>
                <w:highlight w:val="none"/>
              </w:rPr>
              <w:t>合同，</w:t>
            </w:r>
            <w:r>
              <w:rPr>
                <w:rFonts w:hint="eastAsia"/>
                <w:color w:val="000000"/>
                <w:sz w:val="21"/>
                <w:szCs w:val="21"/>
                <w:highlight w:val="none"/>
                <w:lang w:eastAsia="zh-CN"/>
              </w:rPr>
              <w:t>每有一份业绩合同加</w:t>
            </w:r>
            <w:r>
              <w:rPr>
                <w:rFonts w:hint="eastAsia"/>
                <w:color w:val="000000"/>
                <w:sz w:val="21"/>
                <w:szCs w:val="21"/>
                <w:highlight w:val="none"/>
                <w:lang w:val="en-US" w:eastAsia="zh-CN"/>
              </w:rPr>
              <w:t>2</w:t>
            </w:r>
            <w:r>
              <w:rPr>
                <w:color w:val="000000"/>
                <w:sz w:val="21"/>
                <w:szCs w:val="21"/>
                <w:highlight w:val="none"/>
              </w:rPr>
              <w:t>分，</w:t>
            </w:r>
            <w:r>
              <w:rPr>
                <w:rFonts w:hint="eastAsia"/>
                <w:color w:val="000000"/>
                <w:sz w:val="21"/>
                <w:szCs w:val="21"/>
                <w:highlight w:val="none"/>
                <w:lang w:eastAsia="zh-CN"/>
              </w:rPr>
              <w:t>加满为止</w:t>
            </w:r>
            <w:r>
              <w:rPr>
                <w:color w:val="000000"/>
                <w:sz w:val="21"/>
                <w:szCs w:val="21"/>
                <w:highlight w:val="none"/>
              </w:rPr>
              <w:t>。（投标文件中须提供业绩合同，扫描件应能辨识买卖双方公章</w:t>
            </w:r>
            <w:r>
              <w:rPr>
                <w:rFonts w:hint="eastAsia"/>
                <w:color w:val="000000"/>
                <w:sz w:val="21"/>
                <w:szCs w:val="21"/>
                <w:highlight w:val="none"/>
                <w:lang w:val="en-US" w:eastAsia="zh-CN"/>
              </w:rPr>
              <w:t>或合同专用章</w:t>
            </w:r>
            <w:r>
              <w:rPr>
                <w:color w:val="000000"/>
                <w:sz w:val="21"/>
                <w:szCs w:val="21"/>
                <w:highlight w:val="none"/>
              </w:rPr>
              <w:t>、标的信息；如业绩合同不能体现以上全部内容，可提供业绩合同甲方盖公章的证明扫描件。否则，不得分。投标供应商与其关联公司</w:t>
            </w:r>
            <w:r>
              <w:rPr>
                <w:rFonts w:hint="eastAsia"/>
                <w:color w:val="000000"/>
                <w:sz w:val="21"/>
                <w:szCs w:val="21"/>
                <w:highlight w:val="none"/>
                <w:lang w:eastAsia="zh-CN"/>
              </w:rPr>
              <w:t>（单位负责人为同一人或者存在直接控股、管理关系的不同供应商）</w:t>
            </w:r>
            <w:r>
              <w:rPr>
                <w:color w:val="000000"/>
                <w:sz w:val="21"/>
                <w:szCs w:val="21"/>
                <w:highlight w:val="none"/>
              </w:rPr>
              <w:t>之间签订的合同，均不予认可。）</w:t>
            </w:r>
          </w:p>
        </w:tc>
      </w:tr>
    </w:tbl>
    <w:p>
      <w:pPr>
        <w:pStyle w:val="14"/>
        <w:numPr>
          <w:ilvl w:val="0"/>
          <w:numId w:val="0"/>
        </w:numPr>
        <w:tabs>
          <w:tab w:val="left" w:pos="1346"/>
        </w:tabs>
        <w:spacing w:before="130" w:after="0" w:line="357" w:lineRule="auto"/>
        <w:ind w:left="819" w:leftChars="0" w:right="691" w:rightChars="0"/>
        <w:jc w:val="left"/>
        <w:rPr>
          <w:rFonts w:hint="eastAsia"/>
          <w:color w:val="000000"/>
          <w:spacing w:val="-8"/>
          <w:sz w:val="21"/>
          <w:szCs w:val="21"/>
          <w:highlight w:val="none"/>
          <w:lang w:eastAsia="zh-CN"/>
        </w:rPr>
      </w:pPr>
    </w:p>
    <w:p>
      <w:pPr>
        <w:spacing w:line="360" w:lineRule="auto"/>
        <w:ind w:firstLine="420" w:firstLineChars="200"/>
        <w:rPr>
          <w:rFonts w:hint="eastAsia" w:ascii="宋体" w:hAnsi="宋体"/>
          <w:color w:val="000000"/>
          <w:sz w:val="21"/>
          <w:szCs w:val="21"/>
          <w:highlight w:val="none"/>
        </w:rPr>
      </w:pP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3.3技术标评审内容及标准（</w:t>
      </w:r>
      <w:r>
        <w:rPr>
          <w:rFonts w:hint="eastAsia"/>
          <w:color w:val="000000"/>
          <w:sz w:val="21"/>
          <w:szCs w:val="21"/>
          <w:highlight w:val="none"/>
          <w:u w:val="single"/>
          <w:lang w:val="en-US" w:eastAsia="zh-CN"/>
        </w:rPr>
        <w:t>66</w:t>
      </w:r>
      <w:r>
        <w:rPr>
          <w:rFonts w:hint="eastAsia" w:ascii="宋体" w:hAnsi="宋体"/>
          <w:color w:val="000000"/>
          <w:sz w:val="21"/>
          <w:szCs w:val="21"/>
          <w:highlight w:val="none"/>
        </w:rPr>
        <w:t>分）</w:t>
      </w:r>
    </w:p>
    <w:tbl>
      <w:tblPr>
        <w:tblStyle w:val="9"/>
        <w:tblW w:w="954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694"/>
        <w:gridCol w:w="832"/>
        <w:gridCol w:w="501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3694" w:type="dxa"/>
            <w:tcBorders>
              <w:top w:val="outset" w:color="auto" w:sz="6" w:space="0"/>
              <w:left w:val="outset" w:color="auto" w:sz="6" w:space="0"/>
              <w:bottom w:val="single" w:color="auto" w:sz="4" w:space="0"/>
              <w:right w:val="outset" w:color="auto"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bookmarkStart w:id="0" w:name="EBe7773ed3d5f3486599fdc830d5f2147f"/>
            <w:r>
              <w:rPr>
                <w:rFonts w:hint="eastAsia" w:ascii="宋体" w:hAnsi="宋体" w:eastAsia="宋体" w:cs="宋体"/>
                <w:color w:val="000000"/>
                <w:sz w:val="21"/>
                <w:szCs w:val="21"/>
                <w:lang w:val="en-US" w:eastAsia="zh-CN"/>
              </w:rPr>
              <w:t>评审项目</w:t>
            </w:r>
          </w:p>
        </w:tc>
        <w:tc>
          <w:tcPr>
            <w:tcW w:w="832" w:type="dxa"/>
            <w:tcBorders>
              <w:top w:val="outset" w:color="auto" w:sz="6" w:space="0"/>
              <w:left w:val="outset" w:color="auto" w:sz="6" w:space="0"/>
              <w:bottom w:val="single" w:color="auto" w:sz="4" w:space="0"/>
              <w:right w:val="outset" w:color="auto"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分值</w:t>
            </w:r>
          </w:p>
        </w:tc>
        <w:tc>
          <w:tcPr>
            <w:tcW w:w="5015" w:type="dxa"/>
            <w:tcBorders>
              <w:top w:val="outset" w:color="auto" w:sz="6" w:space="0"/>
              <w:left w:val="outset" w:color="auto" w:sz="6" w:space="0"/>
              <w:bottom w:val="single" w:color="auto" w:sz="4" w:space="0"/>
              <w:right w:val="outset" w:color="auto"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3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重要技术参数</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12.00</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根据投标文件与招标文件要求重要参数（标记“◆”的技术参数）的偏离情况进行评分。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各项性能指标均有证明材料且全部满足招标文件要求的得满分；证明材料显示与招标文件要求有非实质性负偏离的或未提供证明材料的，有一项扣2分，共6项，共12分。（同一项参数不重复扣分）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证明材料：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3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其他技术参数</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right="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21分</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根据投标文件与招标文件的采购需求一览表中其它技术参数（未标记“◆”和“*”的技术参数）偏离情况进行评分。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各项性能指标全部满足招标文件要求的得满分；与招标文件要求有非实质性负偏离的（以投标文件技术规格偏离表载明的为准），有一项扣0.6分，共35项，共21分。（同一项参数不重复扣分）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3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产品制造工艺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5分</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 xml:space="preserve">根据投标产品的生产制造工艺情况，包括生产过程控制、生产工艺、质量管理的情况，制造装备的配备等内容进行评审： </w:t>
            </w:r>
          </w:p>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1、有严格的质量及工艺管理方案的，贴合生产要求的得</w:t>
            </w:r>
            <w:r>
              <w:rPr>
                <w:rFonts w:hint="eastAsia" w:ascii="宋体" w:hAnsi="宋体" w:eastAsia="宋体" w:cs="宋体"/>
                <w:color w:val="000000"/>
                <w:sz w:val="21"/>
                <w:szCs w:val="21"/>
                <w:lang w:val="en-US" w:eastAsia="zh-CN"/>
              </w:rPr>
              <w:t>5</w:t>
            </w:r>
            <w:r>
              <w:rPr>
                <w:rFonts w:hint="default" w:ascii="宋体" w:hAnsi="宋体" w:eastAsia="宋体" w:cs="宋体"/>
                <w:color w:val="000000"/>
                <w:sz w:val="21"/>
                <w:szCs w:val="21"/>
                <w:lang w:val="en-US" w:eastAsia="zh-CN"/>
              </w:rPr>
              <w:t xml:space="preserve">分； </w:t>
            </w:r>
          </w:p>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 xml:space="preserve">2、质量及工艺管理方案清晰基本具体，基本满足生产要求的，得 </w:t>
            </w:r>
            <w:r>
              <w:rPr>
                <w:rFonts w:hint="eastAsia" w:ascii="宋体" w:hAnsi="宋体" w:eastAsia="宋体" w:cs="宋体"/>
                <w:color w:val="000000"/>
                <w:sz w:val="21"/>
                <w:szCs w:val="21"/>
                <w:lang w:val="en-US" w:eastAsia="zh-CN"/>
              </w:rPr>
              <w:t>3</w:t>
            </w:r>
            <w:r>
              <w:rPr>
                <w:rFonts w:hint="default" w:ascii="宋体" w:hAnsi="宋体" w:eastAsia="宋体" w:cs="宋体"/>
                <w:color w:val="000000"/>
                <w:sz w:val="21"/>
                <w:szCs w:val="21"/>
                <w:lang w:val="en-US" w:eastAsia="zh-CN"/>
              </w:rPr>
              <w:t xml:space="preserve"> 分； </w:t>
            </w:r>
          </w:p>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3、质量及工艺管控方案有待提升完善的，得</w:t>
            </w:r>
            <w:r>
              <w:rPr>
                <w:rFonts w:hint="eastAsia" w:ascii="宋体" w:hAnsi="宋体" w:eastAsia="宋体" w:cs="宋体"/>
                <w:color w:val="000000"/>
                <w:sz w:val="21"/>
                <w:szCs w:val="21"/>
                <w:lang w:val="en-US" w:eastAsia="zh-CN"/>
              </w:rPr>
              <w:t>1</w:t>
            </w:r>
            <w:r>
              <w:rPr>
                <w:rFonts w:hint="default" w:ascii="宋体" w:hAnsi="宋体" w:eastAsia="宋体" w:cs="宋体"/>
                <w:color w:val="000000"/>
                <w:sz w:val="21"/>
                <w:szCs w:val="21"/>
                <w:lang w:val="en-US" w:eastAsia="zh-CN"/>
              </w:rPr>
              <w:t xml:space="preserve">分； </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4、没有相关质量及工艺管理方案的，不得分。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3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产品成熟性稳定性便捷性安全性</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5分</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根据投标人提供的产品成熟性、稳定性、便捷性安全性等性能</w:t>
            </w:r>
            <w:r>
              <w:rPr>
                <w:rFonts w:hint="eastAsia" w:ascii="宋体" w:hAnsi="宋体" w:eastAsia="宋体" w:cs="宋体"/>
                <w:color w:val="000000"/>
                <w:sz w:val="21"/>
                <w:szCs w:val="21"/>
                <w:lang w:val="en-US" w:eastAsia="zh-CN"/>
              </w:rPr>
              <w:t>方案</w:t>
            </w:r>
            <w:r>
              <w:rPr>
                <w:rFonts w:hint="default" w:ascii="宋体" w:hAnsi="宋体" w:eastAsia="宋体" w:cs="宋体"/>
                <w:color w:val="000000"/>
                <w:sz w:val="21"/>
                <w:szCs w:val="21"/>
                <w:lang w:val="en-US" w:eastAsia="zh-CN"/>
              </w:rPr>
              <w:t>进行</w:t>
            </w:r>
            <w:r>
              <w:rPr>
                <w:rFonts w:hint="eastAsia" w:ascii="宋体" w:hAnsi="宋体" w:eastAsia="宋体" w:cs="宋体"/>
                <w:color w:val="000000"/>
                <w:sz w:val="21"/>
                <w:szCs w:val="21"/>
                <w:lang w:val="en-US" w:eastAsia="zh-CN"/>
              </w:rPr>
              <w:t>评审</w:t>
            </w:r>
            <w:r>
              <w:rPr>
                <w:rFonts w:hint="default" w:ascii="宋体" w:hAnsi="宋体" w:eastAsia="宋体" w:cs="宋体"/>
                <w:color w:val="000000"/>
                <w:sz w:val="21"/>
                <w:szCs w:val="21"/>
                <w:lang w:val="en-US" w:eastAsia="zh-CN"/>
              </w:rPr>
              <w:t>:</w:t>
            </w:r>
          </w:p>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default" w:ascii="宋体" w:hAnsi="宋体" w:eastAsia="宋体" w:cs="宋体"/>
                <w:color w:val="000000"/>
                <w:sz w:val="21"/>
                <w:szCs w:val="21"/>
                <w:lang w:val="en-US" w:eastAsia="zh-CN"/>
              </w:rPr>
              <w:t>指标明显优于招标需求质量可靠、各项方案和措施均严密有效的，得5分;</w:t>
            </w:r>
          </w:p>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default" w:ascii="宋体" w:hAnsi="宋体" w:eastAsia="宋体" w:cs="宋体"/>
                <w:color w:val="000000"/>
                <w:sz w:val="21"/>
                <w:szCs w:val="21"/>
                <w:lang w:val="en-US" w:eastAsia="zh-CN"/>
              </w:rPr>
              <w:t>多数性能指标与采购需求基本一致，质量比较可靠、各项方案和措施比较严密有效的，得3分;</w:t>
            </w:r>
          </w:p>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r>
              <w:rPr>
                <w:rFonts w:hint="default" w:ascii="宋体" w:hAnsi="宋体" w:eastAsia="宋体" w:cs="宋体"/>
                <w:color w:val="000000"/>
                <w:sz w:val="21"/>
                <w:szCs w:val="21"/>
                <w:lang w:val="en-US" w:eastAsia="zh-CN"/>
              </w:rPr>
              <w:t>有关方案措施</w:t>
            </w:r>
            <w:r>
              <w:rPr>
                <w:rFonts w:hint="eastAsia" w:ascii="宋体" w:hAnsi="宋体" w:eastAsia="宋体" w:cs="宋体"/>
                <w:color w:val="000000"/>
                <w:sz w:val="21"/>
                <w:szCs w:val="21"/>
                <w:lang w:val="en-US" w:eastAsia="zh-CN"/>
              </w:rPr>
              <w:t>待进一步提升</w:t>
            </w:r>
            <w:r>
              <w:rPr>
                <w:rFonts w:hint="default"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CN"/>
              </w:rPr>
              <w:t>得1分</w:t>
            </w:r>
            <w:r>
              <w:rPr>
                <w:rFonts w:hint="default" w:ascii="宋体" w:hAnsi="宋体" w:eastAsia="宋体" w:cs="宋体"/>
                <w:color w:val="000000"/>
                <w:sz w:val="21"/>
                <w:szCs w:val="21"/>
                <w:lang w:val="en-US" w:eastAsia="zh-CN"/>
              </w:rPr>
              <w:t>。</w:t>
            </w:r>
          </w:p>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369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供货组织方案、技术保证措施</w:t>
            </w:r>
          </w:p>
        </w:tc>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5分</w:t>
            </w:r>
          </w:p>
        </w:tc>
        <w:tc>
          <w:tcPr>
            <w:tcW w:w="50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1、投标人提供的供货组织方案详细明确、产品安装和调试的主要技术保证措施表述完整,切合实际满足日常工作要求，得5分;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2、供货组织方案比较明确、产品安装和调试的主要技术保证措施表述较完整，比较切合实际，基本能满足日常工作要求，得3分;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3、供货组织方案一般、产品安装和调试的主要技术保证措施表述略模糊，一般能满足工作需求，得1分;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4、方案可操作性差，无法满足日常工作要求，得0分。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369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质量控制方案</w:t>
            </w:r>
          </w:p>
        </w:tc>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5分</w:t>
            </w:r>
          </w:p>
        </w:tc>
        <w:tc>
          <w:tcPr>
            <w:tcW w:w="50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根据供应商针对项目需求提供的质量控制方案（包括但不限于质量控制目标、标准以及质量控制措施等）进行评审： </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1、方案内容全面详细，能支撑项目执行的，得5分； </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2、方案内容基本合理，能支撑项目执行的，得 3 分； </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3、方案内容有待进一步完善，得1分； </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369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备品备件</w:t>
            </w:r>
          </w:p>
        </w:tc>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5分</w:t>
            </w:r>
          </w:p>
        </w:tc>
        <w:tc>
          <w:tcPr>
            <w:tcW w:w="50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根据投标人投标文件中提供备品备件管理方案，具体应包括备品备件清单、备品备件管理流程、报废处置流程等内容等进行评审：</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1、方案详尽细致、科学合理、针对性强的得 5分；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2、方案基本合理、有针对性的得 3 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3、方案有待进一步完善，能满足基本需要的，得1分；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369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售后服务方案</w:t>
            </w:r>
          </w:p>
        </w:tc>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5分</w:t>
            </w:r>
          </w:p>
        </w:tc>
        <w:tc>
          <w:tcPr>
            <w:tcW w:w="50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根据投标人投标文件中提供的售后服务方案进行评审</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1、售后服务方案计划安排合理，可行性高，售后服务方案完全贴合项目实际需求，得5分；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2、售后服务方案计划安排基本合理，可行性基本合理，售后服务方案基本贴合项目实际需求，得3 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3、售后服务方案计划安排有待进一步完善，可行性有待进一步完善，售后服务方案有待进一步完善，得1分；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369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培训方案</w:t>
            </w:r>
          </w:p>
        </w:tc>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c>
          <w:tcPr>
            <w:tcW w:w="50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有针对性的培训方案，培训方案应包括但不限于培训的时间、地点、目标、方式、内容、对象和措施。</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1、培训方案科学合理完整，可行性强，符合实际情况的得3分；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2、培训方案基本合理，可行性基本合理，符合项目实际情况的得2分；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3、培训方案有待进一步完善，得 1分；</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4、未提供不得分。</w:t>
            </w:r>
          </w:p>
        </w:tc>
      </w:tr>
      <w:bookmarkEnd w:id="0"/>
    </w:tbl>
    <w:p>
      <w:pPr>
        <w:spacing w:line="360" w:lineRule="auto"/>
        <w:ind w:firstLine="440" w:firstLineChars="200"/>
        <w:rPr>
          <w:rFonts w:ascii="宋体" w:hAnsi="宋体" w:cs="宋体"/>
          <w:color w:val="000000"/>
          <w:szCs w:val="21"/>
          <w:highlight w:val="none"/>
        </w:rPr>
      </w:pPr>
      <w:r>
        <w:rPr>
          <w:rFonts w:hint="eastAsia" w:ascii="宋体" w:hAnsi="宋体" w:cs="宋体"/>
          <w:color w:val="000000"/>
          <w:szCs w:val="21"/>
          <w:highlight w:val="none"/>
        </w:rPr>
        <w:t>当评委对投标人的技术标的打分低于</w:t>
      </w:r>
      <w:r>
        <w:rPr>
          <w:rFonts w:hint="eastAsia" w:cs="宋体"/>
          <w:color w:val="000000"/>
          <w:szCs w:val="21"/>
          <w:highlight w:val="none"/>
          <w:lang w:val="en-US" w:eastAsia="zh-CN"/>
        </w:rPr>
        <w:t>技术标</w:t>
      </w:r>
      <w:r>
        <w:rPr>
          <w:rFonts w:hint="eastAsia" w:ascii="宋体" w:hAnsi="宋体" w:cs="宋体"/>
          <w:color w:val="000000"/>
          <w:szCs w:val="21"/>
          <w:highlight w:val="none"/>
        </w:rPr>
        <w:t>总分的60%（或打分为满分）或任何一个子项打分为0分时，须作出解释说明。</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 xml:space="preserve">4．评审结果 </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4.1经评审合格的投标文件，评标委员会按综合评审得分从高到低的顺序依次推荐</w:t>
      </w:r>
      <w:r>
        <w:rPr>
          <w:rFonts w:hint="eastAsia"/>
          <w:color w:val="000000"/>
          <w:sz w:val="21"/>
          <w:szCs w:val="21"/>
          <w:highlight w:val="none"/>
          <w:lang w:val="en-US" w:eastAsia="zh-CN"/>
        </w:rPr>
        <w:t>1-3</w:t>
      </w:r>
      <w:r>
        <w:rPr>
          <w:rFonts w:hint="eastAsia" w:ascii="宋体" w:hAnsi="宋体"/>
          <w:color w:val="000000"/>
          <w:sz w:val="21"/>
          <w:szCs w:val="21"/>
          <w:highlight w:val="none"/>
        </w:rPr>
        <w:t>名中标候</w:t>
      </w:r>
      <w:r>
        <w:rPr>
          <w:rFonts w:hint="eastAsia"/>
          <w:color w:val="000000"/>
          <w:sz w:val="21"/>
          <w:szCs w:val="21"/>
          <w:highlight w:val="none"/>
          <w:lang w:eastAsia="zh-CN"/>
        </w:rPr>
        <w:t>选人</w:t>
      </w:r>
      <w:r>
        <w:rPr>
          <w:rFonts w:hint="eastAsia" w:ascii="宋体" w:hAnsi="宋体"/>
          <w:color w:val="000000"/>
          <w:sz w:val="21"/>
          <w:szCs w:val="21"/>
          <w:highlight w:val="none"/>
        </w:rPr>
        <w:t>。排名第一的为首选中标候</w:t>
      </w:r>
      <w:r>
        <w:rPr>
          <w:rFonts w:hint="eastAsia"/>
          <w:color w:val="000000"/>
          <w:sz w:val="21"/>
          <w:szCs w:val="21"/>
          <w:highlight w:val="none"/>
          <w:lang w:eastAsia="zh-CN"/>
        </w:rPr>
        <w:t>选人</w:t>
      </w:r>
      <w:r>
        <w:rPr>
          <w:rFonts w:hint="eastAsia" w:ascii="宋体" w:hAnsi="宋体"/>
          <w:color w:val="000000"/>
          <w:sz w:val="21"/>
          <w:szCs w:val="21"/>
          <w:highlight w:val="none"/>
        </w:rPr>
        <w:t>，以此类推第二、第三中标候选人。</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4.2评标委员会（</w:t>
      </w:r>
      <w:r>
        <w:rPr>
          <w:rFonts w:hint="eastAsia"/>
          <w:color w:val="000000"/>
          <w:sz w:val="21"/>
          <w:szCs w:val="21"/>
          <w:highlight w:val="none"/>
          <w:lang w:eastAsia="zh-CN"/>
        </w:rPr>
        <w:t>招标</w:t>
      </w:r>
      <w:r>
        <w:rPr>
          <w:rFonts w:hint="eastAsia" w:ascii="宋体" w:hAnsi="宋体"/>
          <w:color w:val="000000"/>
          <w:sz w:val="21"/>
          <w:szCs w:val="21"/>
          <w:highlight w:val="none"/>
        </w:rPr>
        <w:t>代理机构</w:t>
      </w:r>
      <w:r>
        <w:rPr>
          <w:rFonts w:hint="eastAsia"/>
          <w:color w:val="000000"/>
          <w:sz w:val="21"/>
          <w:szCs w:val="21"/>
          <w:highlight w:val="none"/>
          <w:lang w:eastAsia="zh-CN"/>
        </w:rPr>
        <w:t>协助</w:t>
      </w:r>
      <w:r>
        <w:rPr>
          <w:rFonts w:hint="eastAsia" w:ascii="宋体" w:hAnsi="宋体"/>
          <w:color w:val="000000"/>
          <w:sz w:val="21"/>
          <w:szCs w:val="21"/>
          <w:highlight w:val="none"/>
        </w:rPr>
        <w:t>）对拟推荐的中标候选</w:t>
      </w:r>
      <w:r>
        <w:rPr>
          <w:rFonts w:hint="eastAsia"/>
          <w:color w:val="000000"/>
          <w:sz w:val="21"/>
          <w:szCs w:val="21"/>
          <w:highlight w:val="none"/>
          <w:lang w:eastAsia="zh-CN"/>
        </w:rPr>
        <w:t>人</w:t>
      </w:r>
      <w:r>
        <w:rPr>
          <w:rFonts w:hint="eastAsia" w:ascii="宋体" w:hAnsi="宋体"/>
          <w:color w:val="000000"/>
          <w:sz w:val="21"/>
          <w:szCs w:val="21"/>
          <w:highlight w:val="none"/>
        </w:rPr>
        <w:t>的信用状况进行查询，经查询若被列入</w:t>
      </w:r>
      <w:r>
        <w:rPr>
          <w:rFonts w:hint="eastAsia"/>
          <w:color w:val="000000"/>
          <w:sz w:val="21"/>
          <w:szCs w:val="21"/>
          <w:highlight w:val="none"/>
          <w:lang w:eastAsia="zh-CN"/>
        </w:rPr>
        <w:t>投标人</w:t>
      </w:r>
      <w:r>
        <w:rPr>
          <w:rFonts w:hint="eastAsia" w:ascii="宋体" w:hAnsi="宋体"/>
          <w:color w:val="000000"/>
          <w:sz w:val="21"/>
          <w:szCs w:val="21"/>
          <w:highlight w:val="none"/>
        </w:rPr>
        <w:t>须知前附表中第</w:t>
      </w:r>
      <w:r>
        <w:rPr>
          <w:rFonts w:hint="eastAsia"/>
          <w:color w:val="000000"/>
          <w:sz w:val="21"/>
          <w:szCs w:val="21"/>
          <w:highlight w:val="none"/>
          <w:lang w:val="en-US" w:eastAsia="zh-CN"/>
        </w:rPr>
        <w:t>10.1</w:t>
      </w:r>
      <w:r>
        <w:rPr>
          <w:rFonts w:hint="eastAsia" w:ascii="宋体" w:hAnsi="宋体"/>
          <w:color w:val="000000"/>
          <w:sz w:val="21"/>
          <w:szCs w:val="21"/>
          <w:highlight w:val="none"/>
        </w:rPr>
        <w:t>条的，由评标委员会取消其中标候选</w:t>
      </w:r>
      <w:r>
        <w:rPr>
          <w:rFonts w:hint="eastAsia"/>
          <w:color w:val="000000"/>
          <w:sz w:val="21"/>
          <w:szCs w:val="21"/>
          <w:highlight w:val="none"/>
          <w:lang w:eastAsia="zh-CN"/>
        </w:rPr>
        <w:t>人</w:t>
      </w:r>
      <w:r>
        <w:rPr>
          <w:rFonts w:hint="eastAsia" w:ascii="宋体" w:hAnsi="宋体"/>
          <w:color w:val="000000"/>
          <w:sz w:val="21"/>
          <w:szCs w:val="21"/>
          <w:highlight w:val="none"/>
        </w:rPr>
        <w:t>资格，并按4.1条重新确定中标候选</w:t>
      </w:r>
      <w:r>
        <w:rPr>
          <w:rFonts w:hint="eastAsia"/>
          <w:color w:val="000000"/>
          <w:sz w:val="21"/>
          <w:szCs w:val="21"/>
          <w:highlight w:val="none"/>
          <w:lang w:eastAsia="zh-CN"/>
        </w:rPr>
        <w:t>人</w:t>
      </w:r>
      <w:r>
        <w:rPr>
          <w:rFonts w:hint="eastAsia" w:ascii="宋体" w:hAnsi="宋体"/>
          <w:color w:val="000000"/>
          <w:sz w:val="21"/>
          <w:szCs w:val="21"/>
          <w:highlight w:val="none"/>
        </w:rPr>
        <w:t>人选，完成相关工作，与此同时，将对拟推荐的中标候选</w:t>
      </w:r>
      <w:r>
        <w:rPr>
          <w:rFonts w:hint="eastAsia"/>
          <w:color w:val="000000"/>
          <w:sz w:val="21"/>
          <w:szCs w:val="21"/>
          <w:highlight w:val="none"/>
          <w:lang w:eastAsia="zh-CN"/>
        </w:rPr>
        <w:t>人</w:t>
      </w:r>
      <w:r>
        <w:rPr>
          <w:rFonts w:hint="eastAsia" w:ascii="宋体" w:hAnsi="宋体"/>
          <w:color w:val="000000"/>
          <w:sz w:val="21"/>
          <w:szCs w:val="21"/>
          <w:highlight w:val="none"/>
        </w:rPr>
        <w:t>的截至评标日的信用状况进行查询并在截图上由评委会签字确认。</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4.3评标委员会完成评标后，应当向</w:t>
      </w:r>
      <w:r>
        <w:rPr>
          <w:rFonts w:hint="eastAsia"/>
          <w:color w:val="000000"/>
          <w:sz w:val="21"/>
          <w:szCs w:val="21"/>
          <w:highlight w:val="none"/>
          <w:lang w:eastAsia="zh-CN"/>
        </w:rPr>
        <w:t>招标</w:t>
      </w:r>
      <w:r>
        <w:rPr>
          <w:rFonts w:hint="eastAsia" w:ascii="宋体" w:hAnsi="宋体"/>
          <w:color w:val="000000"/>
          <w:sz w:val="21"/>
          <w:szCs w:val="21"/>
          <w:highlight w:val="none"/>
        </w:rPr>
        <w:t>提交书面评标报告。</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5.例外情况</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5.1当出现</w:t>
      </w:r>
      <w:r>
        <w:rPr>
          <w:rFonts w:hint="eastAsia"/>
          <w:color w:val="000000"/>
          <w:sz w:val="21"/>
          <w:szCs w:val="21"/>
          <w:highlight w:val="none"/>
          <w:lang w:eastAsia="zh-CN"/>
        </w:rPr>
        <w:t>投标人</w:t>
      </w:r>
      <w:r>
        <w:rPr>
          <w:rFonts w:hint="eastAsia" w:ascii="宋体" w:hAnsi="宋体"/>
          <w:color w:val="000000"/>
          <w:sz w:val="21"/>
          <w:szCs w:val="21"/>
          <w:highlight w:val="none"/>
        </w:rPr>
        <w:t>综合评审得分相等时，按下列顺序排序：“</w:t>
      </w:r>
      <w:r>
        <w:rPr>
          <w:rFonts w:hint="eastAsia"/>
          <w:color w:val="000000"/>
          <w:sz w:val="21"/>
          <w:szCs w:val="21"/>
          <w:highlight w:val="none"/>
          <w:lang w:val="en-US" w:eastAsia="zh-CN"/>
        </w:rPr>
        <w:t>投标报价</w:t>
      </w:r>
      <w:r>
        <w:rPr>
          <w:rFonts w:hint="eastAsia" w:ascii="宋体" w:hAnsi="宋体"/>
          <w:color w:val="000000"/>
          <w:sz w:val="21"/>
          <w:szCs w:val="21"/>
          <w:highlight w:val="none"/>
        </w:rPr>
        <w:t>”得分高的优先；仍相同时，“</w:t>
      </w:r>
      <w:r>
        <w:rPr>
          <w:rFonts w:hint="eastAsia"/>
          <w:color w:val="000000"/>
          <w:sz w:val="21"/>
          <w:szCs w:val="21"/>
          <w:highlight w:val="none"/>
          <w:lang w:val="en-US" w:eastAsia="zh-CN"/>
        </w:rPr>
        <w:t>技术标</w:t>
      </w:r>
      <w:r>
        <w:rPr>
          <w:rFonts w:hint="eastAsia" w:ascii="宋体" w:hAnsi="宋体"/>
          <w:color w:val="000000"/>
          <w:sz w:val="21"/>
          <w:szCs w:val="21"/>
          <w:highlight w:val="none"/>
        </w:rPr>
        <w:t>”得分高的优先</w:t>
      </w:r>
      <w:r>
        <w:rPr>
          <w:rFonts w:hint="eastAsia"/>
          <w:color w:val="000000"/>
          <w:sz w:val="21"/>
          <w:szCs w:val="21"/>
          <w:highlight w:val="none"/>
          <w:lang w:eastAsia="zh-CN"/>
        </w:rPr>
        <w:t>；</w:t>
      </w:r>
      <w:r>
        <w:rPr>
          <w:rFonts w:hint="eastAsia" w:ascii="宋体" w:hAnsi="宋体"/>
          <w:color w:val="000000"/>
          <w:sz w:val="21"/>
          <w:szCs w:val="21"/>
          <w:highlight w:val="none"/>
        </w:rPr>
        <w:t>依然相同时，由评标委员会现场抽签确定顺序。</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5.2通过评审合格的投标人少于3家，评标委员会应否决全部投标，项目按流标处理。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5.3招标文件条款存在含义不清或者相互矛盾的，评标委员会应当针对相应条款作出有利于相应</w:t>
      </w:r>
      <w:r>
        <w:rPr>
          <w:rFonts w:hint="eastAsia"/>
          <w:color w:val="000000"/>
          <w:sz w:val="21"/>
          <w:szCs w:val="21"/>
          <w:highlight w:val="none"/>
          <w:lang w:eastAsia="zh-CN"/>
        </w:rPr>
        <w:t>投标人</w:t>
      </w:r>
      <w:r>
        <w:rPr>
          <w:rFonts w:hint="eastAsia" w:ascii="宋体" w:hAnsi="宋体"/>
          <w:color w:val="000000"/>
          <w:sz w:val="21"/>
          <w:szCs w:val="21"/>
          <w:highlight w:val="none"/>
        </w:rPr>
        <w:t>的结论。</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5.4 评标委员会发现招标文件存在歧义、重大缺陷导致评标工作无法进行，或者招标文件的内容违反国家有关强制性规定的，应当停止评标工作，与</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或代理机构沟通并做书面记录。</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或代理机构书面确认后，应当修改招标文件，重新组织采购活动。</w:t>
      </w:r>
    </w:p>
    <w:p>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6.其他</w:t>
      </w:r>
    </w:p>
    <w:p>
      <w:pPr>
        <w:spacing w:line="360"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val="en-US" w:eastAsia="zh-CN"/>
        </w:rPr>
        <w:t>6.1</w:t>
      </w:r>
      <w:r>
        <w:rPr>
          <w:rFonts w:hint="eastAsia" w:ascii="宋体" w:hAnsi="宋体"/>
          <w:color w:val="000000"/>
          <w:sz w:val="21"/>
          <w:szCs w:val="21"/>
          <w:highlight w:val="none"/>
        </w:rPr>
        <w:t>评标委员会发现投标人的报价明显</w:t>
      </w:r>
      <w:r>
        <w:rPr>
          <w:rFonts w:hint="eastAsia" w:ascii="宋体" w:hAnsi="宋体"/>
          <w:color w:val="000000"/>
          <w:sz w:val="21"/>
          <w:szCs w:val="21"/>
          <w:highlight w:val="none"/>
          <w:lang w:eastAsia="zh-CN"/>
        </w:rPr>
        <w:t>低于</w:t>
      </w:r>
      <w:r>
        <w:rPr>
          <w:rFonts w:hint="eastAsia" w:ascii="宋体" w:hAnsi="宋体"/>
          <w:color w:val="000000"/>
          <w:sz w:val="21"/>
          <w:szCs w:val="21"/>
          <w:highlight w:val="none"/>
        </w:rPr>
        <w:t>其他</w:t>
      </w:r>
      <w:r>
        <w:rPr>
          <w:rFonts w:hint="eastAsia" w:ascii="宋体" w:hAnsi="宋体"/>
          <w:color w:val="000000"/>
          <w:sz w:val="21"/>
          <w:szCs w:val="21"/>
          <w:highlight w:val="none"/>
          <w:lang w:eastAsia="zh-CN"/>
        </w:rPr>
        <w:t>有效</w:t>
      </w:r>
      <w:r>
        <w:rPr>
          <w:rFonts w:hint="eastAsia" w:ascii="宋体" w:hAnsi="宋体"/>
          <w:color w:val="000000"/>
          <w:sz w:val="21"/>
          <w:szCs w:val="21"/>
          <w:highlight w:val="none"/>
        </w:rPr>
        <w:t>投标报价平均值50%时，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hint="eastAsia" w:ascii="宋体" w:hAnsi="宋体"/>
          <w:color w:val="000000"/>
          <w:sz w:val="21"/>
          <w:szCs w:val="21"/>
          <w:highlight w:val="none"/>
          <w:lang w:eastAsia="zh-CN"/>
        </w:rPr>
        <w:t>。</w:t>
      </w:r>
    </w:p>
    <w:p>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6.2</w:t>
      </w:r>
      <w:r>
        <w:rPr>
          <w:rFonts w:hint="eastAsia" w:ascii="宋体" w:hAnsi="宋体"/>
          <w:color w:val="000000"/>
          <w:sz w:val="21"/>
          <w:szCs w:val="21"/>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评标委员会对投标人提交的澄清、说明或补正有疑问的，可以要求投标人进一步澄清、说明或补正，直至满足评标委员会的要求。</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6.3</w:t>
      </w:r>
      <w:r>
        <w:rPr>
          <w:rFonts w:hint="eastAsia" w:ascii="宋体" w:hAnsi="宋体"/>
          <w:color w:val="000000"/>
          <w:sz w:val="21"/>
          <w:szCs w:val="21"/>
          <w:highlight w:val="none"/>
          <w:lang w:val="zh-CN" w:eastAsia="zh-CN"/>
        </w:rPr>
        <w:t>有下列情形之一的，评标委员会应当否决其投标：</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一</w:t>
      </w:r>
      <w:r>
        <w:rPr>
          <w:rFonts w:hint="eastAsia" w:ascii="宋体" w:hAnsi="宋体"/>
          <w:color w:val="000000"/>
          <w:sz w:val="21"/>
          <w:szCs w:val="21"/>
          <w:highlight w:val="none"/>
          <w:lang w:val="zh-CN" w:eastAsia="zh-CN"/>
        </w:rPr>
        <w:t>）投标联合体没有提交共同投标协议；</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二</w:t>
      </w:r>
      <w:r>
        <w:rPr>
          <w:rFonts w:hint="eastAsia" w:ascii="宋体" w:hAnsi="宋体"/>
          <w:color w:val="000000"/>
          <w:sz w:val="21"/>
          <w:szCs w:val="21"/>
          <w:highlight w:val="none"/>
          <w:lang w:val="zh-CN" w:eastAsia="zh-CN"/>
        </w:rPr>
        <w:t>）投标人不符合国家或者招标文件规定的资格条件；</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三</w:t>
      </w:r>
      <w:r>
        <w:rPr>
          <w:rFonts w:hint="eastAsia" w:ascii="宋体" w:hAnsi="宋体"/>
          <w:color w:val="000000"/>
          <w:sz w:val="21"/>
          <w:szCs w:val="21"/>
          <w:highlight w:val="none"/>
          <w:lang w:val="zh-CN" w:eastAsia="zh-CN"/>
        </w:rPr>
        <w:t>）同一投标人提交两个以上不同的投标文件或者投标报价，但招标文件要求提交备选投标的除外；</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四</w:t>
      </w:r>
      <w:r>
        <w:rPr>
          <w:rFonts w:hint="eastAsia" w:ascii="宋体" w:hAnsi="宋体"/>
          <w:color w:val="000000"/>
          <w:sz w:val="21"/>
          <w:szCs w:val="21"/>
          <w:highlight w:val="none"/>
          <w:lang w:val="zh-CN" w:eastAsia="zh-CN"/>
        </w:rPr>
        <w:t>）投标报价低于成本或者高于招标文件设定的最高投标限价；</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五</w:t>
      </w:r>
      <w:r>
        <w:rPr>
          <w:rFonts w:hint="eastAsia" w:ascii="宋体" w:hAnsi="宋体"/>
          <w:color w:val="000000"/>
          <w:sz w:val="21"/>
          <w:szCs w:val="21"/>
          <w:highlight w:val="none"/>
          <w:lang w:val="zh-CN" w:eastAsia="zh-CN"/>
        </w:rPr>
        <w:t>）投标文件没有对招标文件的实质性要求和条件作出响应；</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六</w:t>
      </w:r>
      <w:r>
        <w:rPr>
          <w:rFonts w:hint="eastAsia" w:ascii="宋体" w:hAnsi="宋体"/>
          <w:color w:val="000000"/>
          <w:sz w:val="21"/>
          <w:szCs w:val="21"/>
          <w:highlight w:val="none"/>
          <w:lang w:val="zh-CN" w:eastAsia="zh-CN"/>
        </w:rPr>
        <w:t>）投标人有串通投标、弄虚作假、行贿等违法行为。</w:t>
      </w:r>
    </w:p>
    <w:p>
      <w:pPr>
        <w:pStyle w:val="5"/>
        <w:rPr>
          <w:rFonts w:hint="default"/>
          <w:color w:val="000000"/>
          <w:sz w:val="21"/>
          <w:szCs w:val="21"/>
          <w:highlight w:val="none"/>
          <w:lang w:val="en-US" w:eastAsia="zh-CN"/>
        </w:rPr>
      </w:pPr>
    </w:p>
    <w:p>
      <w:pPr>
        <w:spacing w:line="360" w:lineRule="auto"/>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6.4中标候选人公示内容应包括招标人及其委托的代理机构的名称、地址、联系方式，项目名称和项目编号，中标候选人名称</w:t>
      </w:r>
      <w:r>
        <w:rPr>
          <w:rFonts w:hint="eastAsia"/>
          <w:color w:val="FF0000"/>
          <w:sz w:val="21"/>
          <w:szCs w:val="21"/>
          <w:highlight w:val="none"/>
          <w:lang w:val="en-US" w:eastAsia="zh-CN"/>
        </w:rPr>
        <w:t>及排序</w:t>
      </w:r>
      <w:r>
        <w:rPr>
          <w:rFonts w:hint="eastAsia" w:ascii="宋体" w:hAnsi="宋体"/>
          <w:color w:val="000000"/>
          <w:sz w:val="21"/>
          <w:szCs w:val="21"/>
          <w:highlight w:val="none"/>
          <w:lang w:val="en-US" w:eastAsia="zh-CN"/>
        </w:rPr>
        <w:t>、</w:t>
      </w:r>
      <w:r>
        <w:rPr>
          <w:rFonts w:hint="eastAsia"/>
          <w:color w:val="000000"/>
          <w:sz w:val="21"/>
          <w:szCs w:val="21"/>
          <w:highlight w:val="none"/>
          <w:lang w:val="en-US" w:eastAsia="zh-CN"/>
        </w:rPr>
        <w:t>交货期</w:t>
      </w:r>
      <w:r>
        <w:rPr>
          <w:rFonts w:hint="eastAsia" w:ascii="宋体" w:hAnsi="宋体"/>
          <w:color w:val="000000"/>
          <w:sz w:val="21"/>
          <w:szCs w:val="21"/>
          <w:highlight w:val="none"/>
          <w:lang w:val="en-US" w:eastAsia="zh-CN"/>
        </w:rPr>
        <w:t>和投标报价，</w:t>
      </w:r>
      <w:r>
        <w:rPr>
          <w:rFonts w:hint="eastAsia" w:ascii="宋体" w:hAnsi="宋体"/>
          <w:color w:val="000000"/>
          <w:sz w:val="21"/>
          <w:szCs w:val="21"/>
          <w:highlight w:val="none"/>
        </w:rPr>
        <w:t>中标</w:t>
      </w:r>
      <w:r>
        <w:rPr>
          <w:rFonts w:hint="eastAsia" w:ascii="宋体" w:hAnsi="宋体"/>
          <w:color w:val="000000"/>
          <w:sz w:val="21"/>
          <w:szCs w:val="21"/>
          <w:highlight w:val="none"/>
          <w:lang w:eastAsia="zh-CN"/>
        </w:rPr>
        <w:t>候选人</w:t>
      </w:r>
      <w:r>
        <w:rPr>
          <w:rFonts w:hint="eastAsia" w:ascii="宋体" w:hAnsi="宋体"/>
          <w:color w:val="000000"/>
          <w:sz w:val="21"/>
          <w:szCs w:val="21"/>
          <w:highlight w:val="none"/>
        </w:rPr>
        <w:t>业绩，</w:t>
      </w:r>
      <w:r>
        <w:rPr>
          <w:rFonts w:hint="eastAsia" w:ascii="宋体" w:hAnsi="宋体"/>
          <w:color w:val="000000"/>
          <w:sz w:val="21"/>
          <w:szCs w:val="21"/>
          <w:highlight w:val="none"/>
          <w:lang w:val="en-US" w:eastAsia="zh-CN"/>
        </w:rPr>
        <w:t>评标被否决单位及原因，公示期限。</w:t>
      </w:r>
    </w:p>
    <w:p>
      <w:pPr>
        <w:spacing w:line="360" w:lineRule="auto"/>
        <w:ind w:firstLine="420" w:firstLineChars="200"/>
        <w:rPr>
          <w:rFonts w:hint="eastAsia" w:ascii="宋体" w:hAnsi="宋体"/>
          <w:color w:val="000000"/>
          <w:sz w:val="21"/>
          <w:szCs w:val="21"/>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208A6"/>
    <w:multiLevelType w:val="singleLevel"/>
    <w:tmpl w:val="A93208A6"/>
    <w:lvl w:ilvl="0" w:tentative="0">
      <w:start w:val="1"/>
      <w:numFmt w:val="decimal"/>
      <w:suff w:val="nothing"/>
      <w:lvlText w:val="%1、"/>
      <w:lvlJc w:val="left"/>
    </w:lvl>
  </w:abstractNum>
  <w:abstractNum w:abstractNumId="1">
    <w:nsid w:val="0EF83ABF"/>
    <w:multiLevelType w:val="singleLevel"/>
    <w:tmpl w:val="0EF83ABF"/>
    <w:lvl w:ilvl="0" w:tentative="0">
      <w:start w:val="1"/>
      <w:numFmt w:val="decimal"/>
      <w:suff w:val="nothing"/>
      <w:lvlText w:val="%1、"/>
      <w:lvlJc w:val="left"/>
    </w:lvl>
  </w:abstractNum>
  <w:abstractNum w:abstractNumId="2">
    <w:nsid w:val="48A8369E"/>
    <w:multiLevelType w:val="singleLevel"/>
    <w:tmpl w:val="48A8369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jZiNjdjNmZhN2YzODNmMDZlODMxMGQ2YWZkODcifQ=="/>
    <w:docVar w:name="KSO_WPS_MARK_KEY" w:val="4cdc7f3c-b6a4-41d7-a175-6a086ba95138"/>
  </w:docVars>
  <w:rsids>
    <w:rsidRoot w:val="5E16099A"/>
    <w:rsid w:val="05420F2F"/>
    <w:rsid w:val="0621635C"/>
    <w:rsid w:val="28FC0F72"/>
    <w:rsid w:val="559F0A12"/>
    <w:rsid w:val="56CF7D60"/>
    <w:rsid w:val="5E16099A"/>
    <w:rsid w:val="60B70AE8"/>
    <w:rsid w:val="6A594C6D"/>
    <w:rsid w:val="6F97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6">
    <w:name w:val="heading 1"/>
    <w:basedOn w:val="1"/>
    <w:next w:val="1"/>
    <w:qFormat/>
    <w:uiPriority w:val="1"/>
    <w:pPr>
      <w:spacing w:line="702" w:lineRule="exact"/>
      <w:ind w:right="297"/>
      <w:jc w:val="center"/>
      <w:outlineLvl w:val="0"/>
    </w:pPr>
    <w:rPr>
      <w:rFonts w:ascii="Microsoft JhengHei" w:hAnsi="Microsoft JhengHei" w:eastAsia="Microsoft JhengHei" w:cs="Microsoft JhengHei"/>
      <w:b/>
      <w:bCs/>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rPr>
      <w:rFonts w:ascii="Times New Roman" w:hAnsi="Times New Roman"/>
      <w:bCs w:val="0"/>
      <w:sz w:val="21"/>
      <w:szCs w:val="24"/>
    </w:rPr>
  </w:style>
  <w:style w:type="paragraph" w:styleId="3">
    <w:name w:val="Body Text Indent"/>
    <w:basedOn w:val="1"/>
    <w:next w:val="4"/>
    <w:qFormat/>
    <w:uiPriority w:val="0"/>
    <w:pPr>
      <w:ind w:firstLine="560" w:firstLineChars="200"/>
    </w:pPr>
    <w:rPr>
      <w:rFonts w:ascii="宋体" w:hAnsi="宋体"/>
      <w:bCs/>
      <w:sz w:val="28"/>
      <w:szCs w:val="32"/>
    </w:rPr>
  </w:style>
  <w:style w:type="paragraph" w:styleId="4">
    <w:name w:val="envelope return"/>
    <w:basedOn w:val="1"/>
    <w:next w:val="5"/>
    <w:qFormat/>
    <w:uiPriority w:val="0"/>
    <w:pPr>
      <w:snapToGrid w:val="0"/>
    </w:pPr>
    <w:rPr>
      <w:rFonts w:ascii="Arial" w:hAnsi="Arial"/>
    </w:rPr>
  </w:style>
  <w:style w:type="paragraph" w:styleId="5">
    <w:name w:val="index 4"/>
    <w:basedOn w:val="1"/>
    <w:next w:val="1"/>
    <w:qFormat/>
    <w:uiPriority w:val="99"/>
    <w:pPr>
      <w:ind w:left="600" w:leftChars="600"/>
    </w:pPr>
    <w:rPr>
      <w:szCs w:val="24"/>
    </w:rPr>
  </w:style>
  <w:style w:type="paragraph" w:styleId="7">
    <w:name w:val="annotation text"/>
    <w:basedOn w:val="1"/>
    <w:qFormat/>
    <w:uiPriority w:val="0"/>
    <w:pPr>
      <w:jc w:val="left"/>
    </w:pPr>
  </w:style>
  <w:style w:type="paragraph" w:styleId="8">
    <w:name w:val="Normal (Web)"/>
    <w:basedOn w:val="1"/>
    <w:qFormat/>
    <w:uiPriority w:val="99"/>
    <w:pPr>
      <w:widowControl/>
      <w:spacing w:before="100" w:beforeLines="0" w:beforeAutospacing="1" w:after="100" w:afterLines="0" w:afterAutospacing="1"/>
      <w:jc w:val="left"/>
    </w:pPr>
    <w:rPr>
      <w:rFonts w:hint="eastAsia" w:ascii="宋体" w:hAnsi="宋体"/>
      <w:kern w:val="0"/>
      <w:sz w:val="24"/>
    </w:rPr>
  </w:style>
  <w:style w:type="character" w:customStyle="1" w:styleId="11">
    <w:name w:val="font21"/>
    <w:basedOn w:val="10"/>
    <w:qFormat/>
    <w:uiPriority w:val="0"/>
    <w:rPr>
      <w:rFonts w:hint="eastAsia" w:ascii="宋体" w:hAnsi="宋体" w:eastAsia="宋体" w:cs="宋体"/>
      <w:color w:val="000000"/>
      <w:sz w:val="18"/>
      <w:szCs w:val="18"/>
      <w:u w:val="none"/>
    </w:rPr>
  </w:style>
  <w:style w:type="character" w:customStyle="1" w:styleId="12">
    <w:name w:val="font31"/>
    <w:basedOn w:val="10"/>
    <w:qFormat/>
    <w:uiPriority w:val="0"/>
    <w:rPr>
      <w:rFonts w:hint="eastAsia" w:ascii="宋体" w:hAnsi="宋体" w:eastAsia="宋体" w:cs="宋体"/>
      <w:color w:val="000000"/>
      <w:sz w:val="18"/>
      <w:szCs w:val="18"/>
      <w:u w:val="none"/>
    </w:rPr>
  </w:style>
  <w:style w:type="paragraph" w:customStyle="1" w:styleId="13">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styleId="14">
    <w:name w:val="List Paragraph"/>
    <w:basedOn w:val="1"/>
    <w:qFormat/>
    <w:uiPriority w:val="1"/>
    <w:pPr>
      <w:ind w:left="400" w:firstLine="419"/>
    </w:pPr>
    <w:rPr>
      <w:rFonts w:ascii="宋体" w:hAnsi="宋体" w:eastAsia="宋体" w:cs="宋体"/>
      <w:lang w:val="zh-CN" w:eastAsia="zh-CN" w:bidi="zh-CN"/>
    </w:rPr>
  </w:style>
  <w:style w:type="paragraph" w:customStyle="1" w:styleId="15">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6174</Words>
  <Characters>6798</Characters>
  <Lines>0</Lines>
  <Paragraphs>0</Paragraphs>
  <TotalTime>44</TotalTime>
  <ScaleCrop>false</ScaleCrop>
  <LinksUpToDate>false</LinksUpToDate>
  <CharactersWithSpaces>7063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2024-03-07T07:16:00Z</dcterms:created>
  <dc:creator>巴拉</dc:creator>
  <cp:lastModifiedBy>巴拉</cp:lastModifiedBy>
  <dcterms:modified xsi:type="dcterms:W3CDTF">2024-03-21T05:12:06Z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6D3BB555DE2B4E5A933680F42D46E363_13</vt:lpwstr>
  </property>
</Properties>
</file>