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B3A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leftChars="0" w:right="0" w:firstLine="0" w:firstLineChars="0"/>
        <w:jc w:val="both"/>
        <w:rPr>
          <w:rFonts w:hint="eastAsia" w:ascii="微软雅黑" w:hAnsi="微软雅黑" w:eastAsia="微软雅黑" w:cs="微软雅黑"/>
          <w:b/>
          <w:bCs/>
          <w:i w:val="0"/>
          <w:iCs w:val="0"/>
          <w:caps w:val="0"/>
          <w:color w:val="333333"/>
          <w:spacing w:val="0"/>
          <w:sz w:val="30"/>
          <w:szCs w:val="30"/>
          <w:shd w:val="clear" w:color="auto" w:fill="FFFFFF"/>
          <w:lang w:val="en-US" w:eastAsia="zh-CN"/>
        </w:rPr>
      </w:pP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附件1</w:t>
      </w:r>
    </w:p>
    <w:p w14:paraId="1278C0EC">
      <w:pPr>
        <w:spacing w:line="640" w:lineRule="exact"/>
        <w:jc w:val="center"/>
        <w:rPr>
          <w:rFonts w:eastAsia="方正小标宋简体"/>
          <w:color w:val="000000"/>
          <w:kern w:val="0"/>
          <w:sz w:val="44"/>
          <w:szCs w:val="44"/>
        </w:rPr>
      </w:pPr>
      <w:r>
        <w:rPr>
          <w:rFonts w:hint="eastAsia" w:eastAsia="方正小标宋简体"/>
          <w:color w:val="000000"/>
          <w:kern w:val="0"/>
          <w:sz w:val="44"/>
          <w:szCs w:val="44"/>
          <w:lang w:val="en-US" w:eastAsia="zh-CN"/>
        </w:rPr>
        <w:t>修订</w:t>
      </w:r>
      <w:r>
        <w:rPr>
          <w:rFonts w:eastAsia="方正小标宋简体"/>
          <w:color w:val="000000"/>
          <w:kern w:val="0"/>
          <w:sz w:val="44"/>
          <w:szCs w:val="44"/>
        </w:rPr>
        <w:t>说明</w:t>
      </w:r>
    </w:p>
    <w:p w14:paraId="1FB0F9F7">
      <w:pPr>
        <w:ind w:firstLine="640" w:firstLineChars="200"/>
        <w:rPr>
          <w:rFonts w:ascii="Times New Roman" w:hAnsi="Times New Roman" w:eastAsia="仿宋_GB2312" w:cs="Times New Roman"/>
          <w:color w:val="000000"/>
          <w:kern w:val="0"/>
          <w:sz w:val="32"/>
          <w:szCs w:val="32"/>
        </w:rPr>
      </w:pPr>
    </w:p>
    <w:p w14:paraId="5DC9CF70">
      <w:pPr>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现</w:t>
      </w:r>
      <w:r>
        <w:rPr>
          <w:rFonts w:hint="eastAsia" w:ascii="Times New Roman" w:hAnsi="Times New Roman" w:eastAsia="仿宋_GB2312" w:cs="Times New Roman"/>
          <w:color w:val="000000"/>
          <w:kern w:val="0"/>
          <w:sz w:val="32"/>
          <w:szCs w:val="32"/>
        </w:rPr>
        <w:t>就</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芜湖市评审评标专家劳务费发放办法（试行）</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eastAsia="zh-CN"/>
        </w:rPr>
        <w:t>（公管〔2022〕28号）</w:t>
      </w:r>
      <w:r>
        <w:rPr>
          <w:rFonts w:hint="eastAsia" w:ascii="Times New Roman" w:hAnsi="Times New Roman" w:eastAsia="仿宋_GB2312" w:cs="Times New Roman"/>
          <w:color w:val="000000"/>
          <w:kern w:val="0"/>
          <w:sz w:val="32"/>
          <w:szCs w:val="32"/>
          <w:lang w:val="en-US" w:eastAsia="zh-CN"/>
        </w:rPr>
        <w:t>修订</w:t>
      </w:r>
      <w:r>
        <w:rPr>
          <w:rFonts w:ascii="Times New Roman" w:hAnsi="Times New Roman" w:eastAsia="仿宋_GB2312" w:cs="Times New Roman"/>
          <w:color w:val="000000"/>
          <w:kern w:val="0"/>
          <w:sz w:val="32"/>
          <w:szCs w:val="32"/>
        </w:rPr>
        <w:t>情况作如下说明。</w:t>
      </w:r>
    </w:p>
    <w:p w14:paraId="6AD09EFF">
      <w:pPr>
        <w:pStyle w:val="2"/>
        <w:shd w:val="clear" w:color="auto" w:fill="FFFFFF"/>
        <w:spacing w:before="0" w:beforeAutospacing="0" w:after="0" w:afterAutospacing="0" w:line="360" w:lineRule="atLeast"/>
        <w:ind w:firstLine="640" w:firstLineChars="200"/>
        <w:textAlignment w:val="baseline"/>
        <w:rPr>
          <w:rFonts w:ascii="黑体" w:hAnsi="黑体" w:eastAsia="黑体" w:cs="Times New Roman"/>
          <w:color w:val="000000"/>
          <w:sz w:val="32"/>
          <w:szCs w:val="32"/>
        </w:rPr>
      </w:pPr>
      <w:r>
        <w:rPr>
          <w:rFonts w:hint="eastAsia" w:ascii="黑体" w:hAnsi="黑体" w:eastAsia="黑体" w:cs="Times New Roman"/>
          <w:color w:val="000000"/>
          <w:sz w:val="32"/>
          <w:szCs w:val="32"/>
        </w:rPr>
        <w:t>一、</w:t>
      </w:r>
      <w:r>
        <w:rPr>
          <w:rFonts w:hint="eastAsia" w:ascii="黑体" w:hAnsi="黑体" w:eastAsia="黑体" w:cs="Times New Roman"/>
          <w:color w:val="000000"/>
          <w:sz w:val="32"/>
          <w:szCs w:val="32"/>
          <w:lang w:val="en-US" w:eastAsia="zh-CN"/>
        </w:rPr>
        <w:t>修订</w:t>
      </w:r>
      <w:r>
        <w:rPr>
          <w:rFonts w:hint="eastAsia" w:ascii="黑体" w:hAnsi="黑体" w:eastAsia="黑体" w:cs="Times New Roman"/>
          <w:color w:val="000000"/>
          <w:sz w:val="32"/>
          <w:szCs w:val="32"/>
        </w:rPr>
        <w:t>背景</w:t>
      </w:r>
    </w:p>
    <w:p w14:paraId="04AFC1F4">
      <w:pPr>
        <w:pStyle w:val="2"/>
        <w:widowControl w:val="0"/>
        <w:shd w:val="clear" w:color="auto" w:fill="FFFFFF"/>
        <w:spacing w:before="0" w:beforeAutospacing="0" w:after="0" w:afterAutospacing="0" w:line="360" w:lineRule="atLeast"/>
        <w:ind w:firstLine="640" w:firstLineChars="200"/>
        <w:textAlignment w:val="baseline"/>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2024年1月1日起，《安徽省公共资源交易评标评审专家库和专家管理办法》（皖政办〔2023〕15号）正式施行，2024年5月安徽省发改委制定了7项配套制度。我市依据《安徽省公共资源交易评标评审专家抽取规范》调整了专家抽取规则，面向全省随机抽取专家，在专家劳务报酬支付过程中产生了新情况、新问题。为解决实践中反映的问题，针对现行《芜湖市评审评标专家劳务费发放办法（试行）》中支付标准不合理、支付主体及发文主体不合适等现象，本着依法修订、突出重点、问题导向、强化管理的原则，借鉴了其他省市评审评标专家劳务报酬标准，修订了《芜湖市评审评标专家劳务费发放办法（试行）》，为进一步规范我市评审评标专家劳务报酬管理提供制度保障。</w:t>
      </w:r>
    </w:p>
    <w:p w14:paraId="6C0EC481">
      <w:pPr>
        <w:pStyle w:val="2"/>
        <w:widowControl w:val="0"/>
        <w:shd w:val="clear" w:color="auto" w:fill="FFFFFF"/>
        <w:spacing w:before="0" w:beforeAutospacing="0" w:after="0" w:afterAutospacing="0" w:line="360" w:lineRule="atLeast"/>
        <w:ind w:firstLine="640" w:firstLineChars="200"/>
        <w:textAlignment w:val="baseline"/>
        <w:rPr>
          <w:rFonts w:hint="default" w:ascii="黑体" w:hAnsi="黑体" w:eastAsia="黑体" w:cs="Times New Roman"/>
          <w:color w:val="000000"/>
          <w:sz w:val="32"/>
          <w:szCs w:val="32"/>
          <w:lang w:val="en-US" w:eastAsia="zh-CN"/>
        </w:rPr>
      </w:pPr>
      <w:r>
        <w:rPr>
          <w:rFonts w:hint="eastAsia" w:ascii="黑体" w:hAnsi="黑体" w:eastAsia="黑体" w:cs="Times New Roman"/>
          <w:color w:val="000000"/>
          <w:sz w:val="32"/>
          <w:szCs w:val="32"/>
        </w:rPr>
        <w:t>二、</w:t>
      </w:r>
      <w:r>
        <w:rPr>
          <w:rFonts w:hint="eastAsia" w:ascii="黑体" w:hAnsi="黑体" w:eastAsia="黑体" w:cs="Times New Roman"/>
          <w:color w:val="000000"/>
          <w:sz w:val="32"/>
          <w:szCs w:val="32"/>
          <w:lang w:val="en-US" w:eastAsia="zh-CN"/>
        </w:rPr>
        <w:t>修订依据</w:t>
      </w:r>
    </w:p>
    <w:p w14:paraId="1987A7B0">
      <w:pPr>
        <w:ind w:firstLine="640" w:firstLineChars="20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1.《招标投标法》</w:t>
      </w:r>
    </w:p>
    <w:p w14:paraId="28651DEB">
      <w:pPr>
        <w:ind w:firstLine="640" w:firstLineChars="200"/>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2.《招标投标法实施条例》</w:t>
      </w:r>
    </w:p>
    <w:p w14:paraId="427C978C">
      <w:pPr>
        <w:ind w:firstLine="640" w:firstLineChars="20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3.《国家发展改革委等部门关于严格执行招标投标法规制度进一步规范招标投标主体行为的若干意见》（发改法规规〔2022〕1117号）</w:t>
      </w:r>
    </w:p>
    <w:p w14:paraId="7CEC76DB">
      <w:pPr>
        <w:ind w:firstLine="640" w:firstLineChars="20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4.《国务院办公厅关于创新完善体制机制推动招标投标市场规范健康发展的意见》（国办发〔2024〕21号）</w:t>
      </w:r>
    </w:p>
    <w:p w14:paraId="37B9C2FA">
      <w:pPr>
        <w:ind w:firstLine="640" w:firstLineChars="200"/>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5.《评标专家和评标专家库管理办法》（国家发改委令第26号）</w:t>
      </w:r>
    </w:p>
    <w:p w14:paraId="600472BA">
      <w:pPr>
        <w:ind w:firstLine="640" w:firstLineChars="20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6.《安徽省公共资源交易评标评审专家库和专家管理办法》（皖政办〔2023〕15号）</w:t>
      </w:r>
    </w:p>
    <w:p w14:paraId="7D96AD0F">
      <w:pPr>
        <w:ind w:firstLine="640" w:firstLineChars="200"/>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7.《安徽省发展改革委关于安徽省评标评审专家劳务费支付标准的指导意见》（皖发改公管规〔2017〕7号）</w:t>
      </w:r>
    </w:p>
    <w:p w14:paraId="0BDFA9B0">
      <w:pPr>
        <w:ind w:firstLine="640" w:firstLineChars="200"/>
        <w:rPr>
          <w:rFonts w:hint="eastAsia" w:ascii="黑体" w:hAnsi="黑体" w:eastAsia="黑体" w:cs="Times New Roman"/>
          <w:color w:val="000000"/>
          <w:sz w:val="32"/>
          <w:szCs w:val="32"/>
          <w:lang w:val="en-US" w:eastAsia="zh-CN"/>
        </w:rPr>
      </w:pPr>
      <w:r>
        <w:rPr>
          <w:rFonts w:hint="eastAsia" w:ascii="黑体" w:hAnsi="黑体" w:eastAsia="黑体" w:cs="Times New Roman"/>
          <w:color w:val="000000"/>
          <w:sz w:val="32"/>
          <w:szCs w:val="32"/>
          <w:lang w:val="en-US" w:eastAsia="zh-CN"/>
        </w:rPr>
        <w:t>三、主要修订内容</w:t>
      </w:r>
    </w:p>
    <w:p w14:paraId="625807DB">
      <w:pPr>
        <w:ind w:firstLine="640" w:firstLineChars="200"/>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（一）明确制定主体。2024年6月行政执法体制改革后，政府采购项目监督部门明确为市财政局。在征求财政部门意见后会同市财政局共同印发。</w:t>
      </w:r>
    </w:p>
    <w:p w14:paraId="2A8F05B2">
      <w:pPr>
        <w:ind w:firstLine="640" w:firstLineChars="200"/>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（二）调整支付主体。政府性资金招标采购项目专家劳务费用由市财政局支付修改为项目实施主体或代理机构负责支付。</w:t>
      </w:r>
    </w:p>
    <w:p w14:paraId="76B704ED">
      <w:pPr>
        <w:ind w:left="17" w:leftChars="8" w:firstLine="617" w:firstLineChars="193"/>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（三）增加交通费报销形式。由仅有包干发放一种形式，增加据实报销形式。</w:t>
      </w:r>
    </w:p>
    <w:p w14:paraId="1D22CFA7">
      <w:pPr>
        <w:ind w:left="17" w:leftChars="8" w:firstLine="617" w:firstLineChars="193"/>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（四）调整优化部分地市交通费与在途补助费包干标准。</w:t>
      </w:r>
    </w:p>
    <w:p w14:paraId="36A47C13">
      <w:pPr>
        <w:ind w:firstLine="640" w:firstLineChars="200"/>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（五）规范文中部分用词表述。</w:t>
      </w:r>
    </w:p>
    <w:p w14:paraId="70D1006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zMmE2NDViZjQwN2Y3MTljMzY5MWY5YWM1MjJhNDkifQ=="/>
  </w:docVars>
  <w:rsids>
    <w:rsidRoot w:val="4F7B1375"/>
    <w:rsid w:val="4F7B1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2024-11-21T07:00:00Z</dcterms:created>
  <dc:creator>PP</dc:creator>
  <cp:lastModifiedBy>PP</cp:lastModifiedBy>
  <dcterms:modified xsi:type="dcterms:W3CDTF">2024-11-21T09:31:58Z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7F99F3AA8DB14FC0A66934EB45245E48_11</vt:lpwstr>
  </property>
</Properties>
</file>