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val="0"/>
          <w:bCs w:val="0"/>
          <w:color w:val="000000"/>
          <w:sz w:val="24"/>
          <w:szCs w:val="24"/>
          <w:shd w:val="clear" w:fill="FFFFFF"/>
          <w:lang w:val="en-US" w:eastAsia="zh-CN"/>
        </w:rPr>
      </w:pPr>
      <w:r>
        <w:rPr>
          <w:rFonts w:hint="eastAsia" w:ascii="微软雅黑" w:hAnsi="微软雅黑" w:eastAsia="微软雅黑" w:cs="微软雅黑"/>
          <w:b w:val="0"/>
          <w:bCs w:val="0"/>
          <w:color w:val="000000"/>
          <w:sz w:val="24"/>
          <w:szCs w:val="24"/>
          <w:shd w:val="clear" w:fill="FFFFFF"/>
          <w:lang w:val="en-US" w:eastAsia="zh-CN"/>
        </w:rPr>
        <w:t>三山经开区水系水环境综合治理工程</w:t>
      </w:r>
    </w:p>
    <w:p>
      <w:pPr>
        <w:jc w:val="center"/>
      </w:pPr>
      <w:r>
        <w:rPr>
          <w:rFonts w:hint="eastAsia" w:ascii="宋体" w:hAnsi="宋体" w:eastAsia="宋体" w:cs="宋体"/>
          <w:b/>
          <w:bCs/>
          <w:color w:val="000000"/>
          <w:kern w:val="0"/>
          <w:sz w:val="24"/>
          <w:szCs w:val="24"/>
          <w:lang w:val="en-US" w:eastAsia="zh-CN" w:bidi="ar"/>
        </w:rPr>
        <w:t>项目要求</w:t>
      </w:r>
    </w:p>
    <w:p>
      <w:pPr>
        <w:pStyle w:val="11"/>
        <w:spacing w:line="360" w:lineRule="auto"/>
        <w:rPr>
          <w:b/>
          <w:color w:val="000000"/>
          <w:szCs w:val="21"/>
        </w:rPr>
      </w:pPr>
      <w:r>
        <w:rPr>
          <w:rFonts w:hint="eastAsia" w:ascii="微软雅黑" w:hAnsi="微软雅黑" w:eastAsia="微软雅黑" w:cs="微软雅黑"/>
          <w:b w:val="0"/>
          <w:bCs w:val="0"/>
          <w:color w:val="000000"/>
          <w:sz w:val="24"/>
          <w:szCs w:val="24"/>
          <w:shd w:val="clear" w:fill="FFFFFF"/>
          <w:lang w:val="en-US" w:eastAsia="zh-CN"/>
        </w:rPr>
        <w:t>一、</w:t>
      </w:r>
      <w:r>
        <w:rPr>
          <w:rFonts w:hint="eastAsia"/>
          <w:b/>
          <w:color w:val="000000"/>
          <w:szCs w:val="21"/>
        </w:rPr>
        <w:t>招标内容</w:t>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p>
    <w:p>
      <w:pPr>
        <w:pStyle w:val="11"/>
        <w:spacing w:line="360" w:lineRule="auto"/>
        <w:rPr>
          <w:rFonts w:hint="eastAsia"/>
          <w:b/>
          <w:color w:val="000000"/>
          <w:szCs w:val="21"/>
          <w:lang w:eastAsia="zh-CN"/>
        </w:rPr>
      </w:pPr>
      <w:r>
        <w:rPr>
          <w:rFonts w:hint="eastAsia"/>
          <w:b/>
          <w:color w:val="000000"/>
          <w:szCs w:val="21"/>
        </w:rPr>
        <w:t>本次工程实施范围主要位于三山经济开发区内，面积约109.68 平方公里。</w:t>
      </w:r>
      <w:r>
        <w:rPr>
          <w:rFonts w:hint="eastAsia"/>
          <w:b/>
          <w:color w:val="000000"/>
          <w:szCs w:val="21"/>
          <w:lang w:eastAsia="zh-CN"/>
        </w:rPr>
        <w:t>汇水区域内水系总长度约</w:t>
      </w:r>
      <w:r>
        <w:rPr>
          <w:rFonts w:hint="eastAsia"/>
          <w:b/>
          <w:color w:val="000000"/>
          <w:szCs w:val="21"/>
          <w:lang w:val="en-US" w:eastAsia="zh-CN"/>
        </w:rPr>
        <w:t>99㎞，其中含已整治黑臭水体长度约28.77㎞。内容主要包括：①水环境工程:主要包括控源截污工程（点源、面源污染治理工程）、内源治理工程（清淤疏浚）、水系连通活水循环工程、水体内部生态修复工程、智慧水管理工程（水系在线监测、活水畅流闸泵自动控制、水位在线监测系统）。②水利工程：主要包括防洪排涝工程、泵站工程、水闸工程。③水生态景观工程：生态景观专项工程。本项目采用EPCO模式确定设计、施工、运维总承包单位，计划投资44999.22万元，施工工期900个日历天。</w:t>
      </w:r>
      <w:r>
        <w:rPr>
          <w:rFonts w:hint="eastAsia"/>
          <w:b/>
          <w:color w:val="000000"/>
          <w:szCs w:val="21"/>
        </w:rPr>
        <w:t>项目招标控制价：工程总投资为 44999.22 万元</w:t>
      </w:r>
      <w:r>
        <w:rPr>
          <w:rFonts w:hint="eastAsia"/>
          <w:b/>
          <w:color w:val="000000"/>
          <w:szCs w:val="21"/>
          <w:lang w:eastAsia="zh-CN"/>
        </w:rPr>
        <w:t>。</w:t>
      </w:r>
      <w:r>
        <w:rPr>
          <w:rFonts w:hint="eastAsia"/>
          <w:b/>
          <w:color w:val="000000"/>
          <w:szCs w:val="21"/>
        </w:rPr>
        <w:t xml:space="preserve"> 资金来源：</w:t>
      </w:r>
      <w:r>
        <w:rPr>
          <w:rFonts w:hint="eastAsia"/>
          <w:b/>
          <w:color w:val="000000"/>
          <w:szCs w:val="21"/>
          <w:lang w:val="en-US" w:eastAsia="zh-CN"/>
        </w:rPr>
        <w:t xml:space="preserve"> 国企自筹资金</w:t>
      </w:r>
      <w:r>
        <w:rPr>
          <w:rFonts w:hint="eastAsia"/>
          <w:b/>
          <w:color w:val="000000"/>
          <w:szCs w:val="21"/>
          <w:lang w:eastAsia="zh-CN"/>
        </w:rPr>
        <w:t>。</w:t>
      </w:r>
    </w:p>
    <w:p>
      <w:pPr>
        <w:pStyle w:val="11"/>
        <w:spacing w:line="360" w:lineRule="auto"/>
        <w:rPr>
          <w:b/>
          <w:color w:val="000000"/>
          <w:szCs w:val="21"/>
        </w:rPr>
      </w:pPr>
      <w:r>
        <w:rPr>
          <w:rFonts w:hint="eastAsia"/>
          <w:b/>
          <w:color w:val="000000"/>
          <w:szCs w:val="21"/>
          <w:lang w:eastAsia="zh-CN"/>
        </w:rPr>
        <w:t>二、</w:t>
      </w:r>
      <w:r>
        <w:rPr>
          <w:rFonts w:hint="eastAsia"/>
          <w:b/>
          <w:color w:val="000000"/>
          <w:szCs w:val="21"/>
        </w:rPr>
        <w:t>投标人资格要求</w:t>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p>
    <w:p>
      <w:pPr>
        <w:pStyle w:val="11"/>
        <w:spacing w:line="360" w:lineRule="auto"/>
        <w:rPr>
          <w:rFonts w:hint="eastAsia"/>
          <w:b/>
          <w:color w:val="000000"/>
          <w:szCs w:val="21"/>
          <w:lang w:val="en-US" w:eastAsia="zh-CN"/>
        </w:rPr>
      </w:pPr>
      <w:r>
        <w:rPr>
          <w:rFonts w:hint="eastAsia"/>
          <w:b/>
          <w:color w:val="000000"/>
          <w:szCs w:val="21"/>
          <w:lang w:val="en-US" w:eastAsia="zh-CN"/>
        </w:rPr>
        <w:t>1、投标人资质要求： 投标人须同时符合以下（1）和（2）两项资质要求的独立法人：</w:t>
      </w:r>
    </w:p>
    <w:p>
      <w:pPr>
        <w:pStyle w:val="11"/>
        <w:spacing w:line="360" w:lineRule="auto"/>
        <w:rPr>
          <w:rFonts w:hint="eastAsia"/>
          <w:b/>
          <w:color w:val="000000"/>
          <w:szCs w:val="21"/>
          <w:lang w:val="en-US" w:eastAsia="zh-CN"/>
        </w:rPr>
      </w:pPr>
      <w:r>
        <w:rPr>
          <w:rFonts w:hint="eastAsia"/>
          <w:b/>
          <w:color w:val="000000"/>
          <w:szCs w:val="21"/>
          <w:lang w:val="en-US" w:eastAsia="zh-CN"/>
        </w:rPr>
        <w:t xml:space="preserve">（1）设计资质：须同时满足以下①②或者同时满足以下②③④⑤要求：①工程设计综合甲级资质；②勘查设计综合甲级资质或勘查设计甲级（岩土或水文或测量）及以上。③工程设计市政行业（排水工程）专业甲级及以上资质；④环境工程（水污染防治工程或污染修复工程）专项设计甲级及以上设计资质；⑤水利行业设计甲级及以上资质。 （2）施工资质：同时满足以下要求：①水利水电工程施工总承包一级及以上资质；②市政公用工程施工总承包一级及以上资质；③环保工程专业承包一级及以上资质。 </w:t>
      </w:r>
    </w:p>
    <w:p>
      <w:pPr>
        <w:pStyle w:val="11"/>
        <w:spacing w:line="360" w:lineRule="auto"/>
        <w:rPr>
          <w:rFonts w:hint="eastAsia"/>
          <w:b/>
          <w:color w:val="000000"/>
          <w:szCs w:val="21"/>
          <w:lang w:val="en-US" w:eastAsia="zh-CN"/>
        </w:rPr>
      </w:pPr>
      <w:r>
        <w:rPr>
          <w:rFonts w:hint="eastAsia"/>
          <w:b/>
          <w:color w:val="000000"/>
          <w:szCs w:val="21"/>
          <w:lang w:val="en-US" w:eastAsia="zh-CN"/>
        </w:rPr>
        <w:t>2、项目负责人资质要求：①项目负责人（设计负责人）：具有 注册土木工程师或 公用设备工程师（给水排水）资格证书。②项目施工负责人：如提供1名项目施工负责人，须具备水利水电工程及市政公用工程专业注册一级建造师，须取得有效的安全考核B类证书（水安B证及建安B证）。如提供2名项目施工负责人，须1人具备水利水电工程专业注册一级建造师且取得有效的安全考核B类证书，1人具备市政公用工程专业注册一级建造师且取得有效的安全考核B类证书。备注：若为联合体投标，本项目项目负责人（设计负责人）需由联合体牵头人提供；项目施工负责人由具备以上施工资质单位提供。</w:t>
      </w:r>
    </w:p>
    <w:p>
      <w:pPr>
        <w:pStyle w:val="3"/>
        <w:pageBreakBefore/>
        <w:jc w:val="center"/>
        <w:rPr>
          <w:color w:val="000000"/>
          <w:szCs w:val="32"/>
        </w:rPr>
      </w:pPr>
      <w:r>
        <w:rPr>
          <w:rFonts w:hint="eastAsia"/>
          <w:b/>
          <w:color w:val="000000"/>
          <w:szCs w:val="21"/>
          <w:lang w:val="en-US" w:eastAsia="zh-CN"/>
        </w:rPr>
        <w:t>三、</w:t>
      </w:r>
      <w:r>
        <w:rPr>
          <w:rFonts w:hint="eastAsia"/>
          <w:color w:val="000000"/>
          <w:szCs w:val="32"/>
        </w:rPr>
        <w:t>评标办法（综合评分法）</w:t>
      </w:r>
    </w:p>
    <w:p>
      <w:pPr>
        <w:spacing w:line="360" w:lineRule="auto"/>
        <w:ind w:firstLine="482" w:firstLineChars="200"/>
        <w:jc w:val="center"/>
        <w:rPr>
          <w:rFonts w:ascii="宋体" w:hAnsi="宋体"/>
          <w:color w:val="000000"/>
          <w:szCs w:val="21"/>
        </w:rPr>
      </w:pPr>
      <w:r>
        <w:rPr>
          <w:rFonts w:hint="eastAsia" w:ascii="宋体" w:hAnsi="宋体"/>
          <w:b/>
          <w:color w:val="000000"/>
          <w:sz w:val="24"/>
        </w:rPr>
        <w:t>评标办法前附表</w:t>
      </w:r>
    </w:p>
    <w:tbl>
      <w:tblPr>
        <w:tblStyle w:val="12"/>
        <w:tblW w:w="99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1"/>
        <w:gridCol w:w="41"/>
        <w:gridCol w:w="1062"/>
        <w:gridCol w:w="2267"/>
        <w:gridCol w:w="55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144" w:type="dxa"/>
            <w:gridSpan w:val="3"/>
            <w:noWrap w:val="0"/>
            <w:vAlign w:val="top"/>
          </w:tcPr>
          <w:p>
            <w:pPr>
              <w:spacing w:before="132" w:line="221" w:lineRule="auto"/>
              <w:ind w:firstLine="763"/>
              <w:rPr>
                <w:rFonts w:ascii="宋体" w:hAnsi="宋体" w:eastAsia="宋体" w:cs="宋体"/>
              </w:rPr>
            </w:pPr>
            <w:r>
              <w:rPr>
                <w:rFonts w:ascii="宋体" w:hAnsi="宋体" w:eastAsia="宋体" w:cs="宋体"/>
                <w:spacing w:val="-2"/>
              </w:rPr>
              <w:t>条款</w:t>
            </w:r>
            <w:r>
              <w:rPr>
                <w:rFonts w:ascii="宋体" w:hAnsi="宋体" w:eastAsia="宋体" w:cs="宋体"/>
                <w:spacing w:val="-1"/>
              </w:rPr>
              <w:t>号</w:t>
            </w:r>
          </w:p>
        </w:tc>
        <w:tc>
          <w:tcPr>
            <w:tcW w:w="2267" w:type="dxa"/>
            <w:noWrap w:val="0"/>
            <w:vAlign w:val="top"/>
          </w:tcPr>
          <w:p>
            <w:pPr>
              <w:spacing w:before="132" w:line="221" w:lineRule="auto"/>
              <w:ind w:firstLine="717"/>
              <w:rPr>
                <w:rFonts w:ascii="宋体" w:hAnsi="宋体" w:eastAsia="宋体" w:cs="宋体"/>
              </w:rPr>
            </w:pPr>
            <w:r>
              <w:rPr>
                <w:rFonts w:ascii="宋体" w:hAnsi="宋体" w:eastAsia="宋体" w:cs="宋体"/>
                <w:spacing w:val="-1"/>
              </w:rPr>
              <w:t>评审</w:t>
            </w:r>
            <w:r>
              <w:rPr>
                <w:rFonts w:ascii="宋体" w:hAnsi="宋体" w:eastAsia="宋体" w:cs="宋体"/>
              </w:rPr>
              <w:t>因素</w:t>
            </w:r>
          </w:p>
        </w:tc>
        <w:tc>
          <w:tcPr>
            <w:tcW w:w="5531" w:type="dxa"/>
            <w:noWrap w:val="0"/>
            <w:vAlign w:val="top"/>
          </w:tcPr>
          <w:p>
            <w:pPr>
              <w:spacing w:before="133" w:line="221" w:lineRule="auto"/>
              <w:ind w:firstLine="2348"/>
              <w:rPr>
                <w:rFonts w:ascii="宋体" w:hAnsi="宋体" w:eastAsia="宋体" w:cs="宋体"/>
              </w:rPr>
            </w:pPr>
            <w:r>
              <w:rPr>
                <w:rFonts w:ascii="宋体" w:hAnsi="宋体" w:eastAsia="宋体" w:cs="宋体"/>
                <w:spacing w:val="-1"/>
              </w:rPr>
              <w:t>评审</w:t>
            </w:r>
            <w:r>
              <w:rPr>
                <w:rFonts w:ascii="宋体" w:hAnsi="宋体" w:eastAsia="宋体" w:cs="宋体"/>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41" w:type="dxa"/>
            <w:vMerge w:val="restart"/>
            <w:tcBorders>
              <w:bottom w:val="nil"/>
            </w:tcBorders>
            <w:noWrap w:val="0"/>
            <w:vAlign w:val="center"/>
          </w:tcPr>
          <w:p>
            <w:pPr>
              <w:jc w:val="center"/>
              <w:rPr>
                <w:rFonts w:ascii="Calibri" w:hAnsi="Calibri" w:eastAsia="Calibri" w:cs="Calibri"/>
              </w:rPr>
            </w:pPr>
            <w:r>
              <w:rPr>
                <w:rFonts w:hint="eastAsia"/>
                <w:color w:val="000000"/>
              </w:rPr>
              <w:t>2.1.1</w:t>
            </w:r>
          </w:p>
        </w:tc>
        <w:tc>
          <w:tcPr>
            <w:tcW w:w="1103" w:type="dxa"/>
            <w:gridSpan w:val="2"/>
            <w:vMerge w:val="restart"/>
            <w:tcBorders>
              <w:bottom w:val="nil"/>
            </w:tcBorders>
            <w:noWrap w:val="0"/>
            <w:vAlign w:val="center"/>
          </w:tcPr>
          <w:p>
            <w:pPr>
              <w:jc w:val="center"/>
              <w:rPr>
                <w:sz w:val="20"/>
                <w:szCs w:val="20"/>
              </w:rPr>
            </w:pPr>
            <w:r>
              <w:rPr>
                <w:rFonts w:hint="eastAsia" w:ascii="宋体" w:hAnsi="宋体"/>
                <w:color w:val="000000"/>
                <w:szCs w:val="21"/>
              </w:rPr>
              <w:t>形式评审标准</w:t>
            </w:r>
          </w:p>
        </w:tc>
        <w:tc>
          <w:tcPr>
            <w:tcW w:w="2267" w:type="dxa"/>
            <w:noWrap w:val="0"/>
            <w:vAlign w:val="top"/>
          </w:tcPr>
          <w:p>
            <w:pPr>
              <w:spacing w:before="52" w:line="221" w:lineRule="auto"/>
              <w:ind w:firstLine="115"/>
              <w:rPr>
                <w:rFonts w:ascii="宋体" w:hAnsi="宋体" w:eastAsia="宋体" w:cs="宋体"/>
              </w:rPr>
            </w:pPr>
            <w:r>
              <w:rPr>
                <w:rFonts w:ascii="宋体" w:hAnsi="宋体" w:eastAsia="宋体" w:cs="宋体"/>
                <w:spacing w:val="-2"/>
              </w:rPr>
              <w:t>投标人</w:t>
            </w:r>
            <w:r>
              <w:rPr>
                <w:rFonts w:ascii="宋体" w:hAnsi="宋体" w:eastAsia="宋体" w:cs="宋体"/>
                <w:spacing w:val="-1"/>
              </w:rPr>
              <w:t>名称</w:t>
            </w:r>
          </w:p>
        </w:tc>
        <w:tc>
          <w:tcPr>
            <w:tcW w:w="5531" w:type="dxa"/>
            <w:noWrap w:val="0"/>
            <w:vAlign w:val="top"/>
          </w:tcPr>
          <w:p>
            <w:pPr>
              <w:spacing w:before="128" w:line="220" w:lineRule="auto"/>
              <w:ind w:firstLine="119"/>
              <w:rPr>
                <w:rFonts w:ascii="宋体" w:hAnsi="宋体" w:eastAsia="宋体" w:cs="宋体"/>
              </w:rPr>
            </w:pPr>
            <w:r>
              <w:rPr>
                <w:rFonts w:ascii="宋体" w:hAnsi="宋体" w:eastAsia="宋体" w:cs="宋体"/>
              </w:rPr>
              <w:t>与营业执照</w:t>
            </w:r>
            <w:r>
              <w:rPr>
                <w:rFonts w:ascii="宋体" w:hAnsi="宋体" w:eastAsia="宋体" w:cs="宋体"/>
                <w:spacing w:val="-4"/>
              </w:rPr>
              <w:t>、</w:t>
            </w:r>
            <w:r>
              <w:rPr>
                <w:rFonts w:ascii="宋体" w:hAnsi="宋体" w:eastAsia="宋体" w:cs="宋体"/>
              </w:rPr>
              <w:t>资质证书</w:t>
            </w:r>
            <w:r>
              <w:rPr>
                <w:rFonts w:ascii="宋体" w:hAnsi="宋体" w:eastAsia="宋体" w:cs="宋体"/>
                <w:spacing w:val="-4"/>
              </w:rPr>
              <w:t>、</w:t>
            </w:r>
            <w:r>
              <w:rPr>
                <w:rFonts w:ascii="宋体" w:hAnsi="宋体" w:eastAsia="宋体" w:cs="宋体"/>
              </w:rPr>
              <w:t>安全生产许可证</w:t>
            </w:r>
            <w:r>
              <w:rPr>
                <w:rFonts w:hint="eastAsia" w:ascii="宋体" w:hAnsi="宋体" w:eastAsia="宋体" w:cs="宋体"/>
              </w:rPr>
              <w:t>（如有）</w:t>
            </w:r>
            <w:r>
              <w:rPr>
                <w:rFonts w:ascii="宋体" w:hAnsi="宋体" w:eastAsia="宋体" w:cs="宋体"/>
              </w:rPr>
              <w:t>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54" w:line="220" w:lineRule="auto"/>
              <w:ind w:firstLine="115"/>
              <w:rPr>
                <w:rFonts w:ascii="宋体" w:hAnsi="宋体" w:eastAsia="宋体" w:cs="宋体"/>
              </w:rPr>
            </w:pPr>
            <w:r>
              <w:rPr>
                <w:rFonts w:ascii="宋体" w:hAnsi="宋体" w:eastAsia="宋体" w:cs="宋体"/>
                <w:spacing w:val="-2"/>
              </w:rPr>
              <w:t>投</w:t>
            </w:r>
            <w:r>
              <w:rPr>
                <w:rFonts w:ascii="宋体" w:hAnsi="宋体" w:eastAsia="宋体" w:cs="宋体"/>
                <w:spacing w:val="-1"/>
              </w:rPr>
              <w:t>标函签字盖章</w:t>
            </w:r>
          </w:p>
        </w:tc>
        <w:tc>
          <w:tcPr>
            <w:tcW w:w="5531" w:type="dxa"/>
            <w:noWrap w:val="0"/>
            <w:vAlign w:val="top"/>
          </w:tcPr>
          <w:p>
            <w:pPr>
              <w:spacing w:before="131" w:line="220" w:lineRule="auto"/>
              <w:ind w:firstLine="115"/>
              <w:rPr>
                <w:rFonts w:ascii="宋体" w:hAnsi="宋体" w:eastAsia="宋体" w:cs="宋体"/>
              </w:rPr>
            </w:pPr>
            <w:r>
              <w:rPr>
                <w:rFonts w:ascii="宋体" w:hAnsi="宋体" w:eastAsia="宋体" w:cs="宋体"/>
                <w:spacing w:val="-1"/>
              </w:rPr>
              <w:t>有法定代</w:t>
            </w:r>
            <w:r>
              <w:rPr>
                <w:rFonts w:ascii="宋体" w:hAnsi="宋体" w:eastAsia="宋体" w:cs="宋体"/>
              </w:rPr>
              <w:t>表人或其委托代理人签字或加盖单位章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51" w:line="221" w:lineRule="auto"/>
              <w:ind w:firstLine="115"/>
              <w:rPr>
                <w:rFonts w:ascii="宋体" w:hAnsi="宋体" w:eastAsia="宋体" w:cs="宋体"/>
              </w:rPr>
            </w:pPr>
            <w:r>
              <w:rPr>
                <w:rFonts w:ascii="宋体" w:hAnsi="宋体" w:eastAsia="宋体" w:cs="宋体"/>
                <w:spacing w:val="-2"/>
              </w:rPr>
              <w:t>投标</w:t>
            </w:r>
            <w:r>
              <w:rPr>
                <w:rFonts w:ascii="宋体" w:hAnsi="宋体" w:eastAsia="宋体" w:cs="宋体"/>
                <w:spacing w:val="-1"/>
              </w:rPr>
              <w:t>文件格式</w:t>
            </w:r>
          </w:p>
        </w:tc>
        <w:tc>
          <w:tcPr>
            <w:tcW w:w="5531" w:type="dxa"/>
            <w:noWrap w:val="0"/>
            <w:vAlign w:val="top"/>
          </w:tcPr>
          <w:p>
            <w:pPr>
              <w:spacing w:before="129" w:line="220" w:lineRule="auto"/>
              <w:ind w:firstLine="116"/>
              <w:rPr>
                <w:rFonts w:ascii="宋体" w:hAnsi="宋体" w:eastAsia="宋体" w:cs="宋体"/>
              </w:rPr>
            </w:pPr>
            <w:r>
              <w:rPr>
                <w:rFonts w:ascii="宋体" w:hAnsi="宋体" w:eastAsia="宋体" w:cs="宋体"/>
                <w:spacing w:val="-1"/>
              </w:rPr>
              <w:t>符合第八章</w:t>
            </w:r>
            <w:r>
              <w:rPr>
                <w:rFonts w:ascii="宋体" w:hAnsi="宋体" w:eastAsia="宋体" w:cs="宋体"/>
              </w:rPr>
              <w:t>“投标文件格式”的要求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53" w:line="221" w:lineRule="auto"/>
              <w:ind w:firstLine="114"/>
              <w:rPr>
                <w:rFonts w:ascii="宋体" w:hAnsi="宋体" w:eastAsia="宋体" w:cs="宋体"/>
              </w:rPr>
            </w:pPr>
            <w:r>
              <w:rPr>
                <w:rFonts w:ascii="宋体" w:hAnsi="宋体" w:eastAsia="宋体" w:cs="宋体"/>
                <w:spacing w:val="-1"/>
              </w:rPr>
              <w:t>联合体投标人</w:t>
            </w:r>
          </w:p>
        </w:tc>
        <w:tc>
          <w:tcPr>
            <w:tcW w:w="5531" w:type="dxa"/>
            <w:noWrap w:val="0"/>
            <w:vAlign w:val="top"/>
          </w:tcPr>
          <w:p>
            <w:pPr>
              <w:spacing w:before="130" w:line="220" w:lineRule="auto"/>
              <w:ind w:firstLine="115"/>
              <w:rPr>
                <w:rFonts w:ascii="宋体" w:hAnsi="宋体" w:eastAsia="宋体" w:cs="宋体"/>
              </w:rPr>
            </w:pPr>
            <w:r>
              <w:rPr>
                <w:rFonts w:hint="eastAsia" w:ascii="宋体" w:hAnsi="宋体" w:eastAsia="宋体" w:cs="宋体"/>
              </w:rPr>
              <w:t>提交联合体协议书，并明确联合体牵头人</w:t>
            </w:r>
            <w:r>
              <w:rPr>
                <w:rFonts w:ascii="宋体" w:hAnsi="宋体" w:eastAsia="宋体" w:cs="宋体"/>
                <w:spacing w:val="-1"/>
              </w:rPr>
              <w:t xml:space="preserve"> </w:t>
            </w:r>
            <w:r>
              <w:rPr>
                <w:rFonts w:ascii="宋体" w:hAnsi="宋体" w:eastAsia="宋体" w:cs="宋体"/>
              </w:rPr>
              <w:t>（如有</w:t>
            </w:r>
            <w:r>
              <w:rPr>
                <w:rFonts w:ascii="宋体" w:hAnsi="宋体" w:eastAsia="宋体" w:cs="宋体"/>
                <w:spacing w:val="-6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53" w:line="219" w:lineRule="auto"/>
              <w:ind w:firstLine="111"/>
              <w:rPr>
                <w:rFonts w:ascii="宋体" w:hAnsi="宋体" w:eastAsia="宋体" w:cs="宋体"/>
              </w:rPr>
            </w:pPr>
            <w:r>
              <w:rPr>
                <w:rFonts w:ascii="宋体" w:hAnsi="宋体" w:eastAsia="宋体" w:cs="宋体"/>
                <w:spacing w:val="-1"/>
              </w:rPr>
              <w:t>报价唯</w:t>
            </w:r>
            <w:r>
              <w:rPr>
                <w:rFonts w:ascii="宋体" w:hAnsi="宋体" w:eastAsia="宋体" w:cs="宋体"/>
              </w:rPr>
              <w:t>一</w:t>
            </w:r>
          </w:p>
        </w:tc>
        <w:tc>
          <w:tcPr>
            <w:tcW w:w="5531" w:type="dxa"/>
            <w:noWrap w:val="0"/>
            <w:vAlign w:val="top"/>
          </w:tcPr>
          <w:p>
            <w:pPr>
              <w:spacing w:before="130" w:line="219" w:lineRule="auto"/>
              <w:ind w:firstLine="127"/>
              <w:rPr>
                <w:rFonts w:ascii="宋体" w:hAnsi="宋体" w:eastAsia="宋体" w:cs="宋体"/>
              </w:rPr>
            </w:pPr>
            <w:r>
              <w:rPr>
                <w:rFonts w:ascii="宋体" w:hAnsi="宋体" w:eastAsia="宋体" w:cs="宋体"/>
                <w:spacing w:val="-2"/>
              </w:rPr>
              <w:t>只能有一个有效报</w:t>
            </w:r>
            <w:r>
              <w:rPr>
                <w:rFonts w:ascii="宋体" w:hAnsi="宋体" w:eastAsia="宋体" w:cs="宋体"/>
                <w:spacing w:val="-1"/>
              </w:rPr>
              <w:t>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1041" w:type="dxa"/>
            <w:vMerge w:val="continue"/>
            <w:tcBorders>
              <w:top w:val="nil"/>
            </w:tcBorders>
            <w:noWrap w:val="0"/>
            <w:vAlign w:val="top"/>
          </w:tcPr>
          <w:p/>
        </w:tc>
        <w:tc>
          <w:tcPr>
            <w:tcW w:w="1103" w:type="dxa"/>
            <w:gridSpan w:val="2"/>
            <w:vMerge w:val="continue"/>
            <w:tcBorders>
              <w:top w:val="nil"/>
            </w:tcBorders>
            <w:noWrap w:val="0"/>
            <w:vAlign w:val="top"/>
          </w:tcPr>
          <w:p/>
        </w:tc>
        <w:tc>
          <w:tcPr>
            <w:tcW w:w="2267" w:type="dxa"/>
            <w:noWrap w:val="0"/>
            <w:vAlign w:val="top"/>
          </w:tcPr>
          <w:p>
            <w:pPr>
              <w:spacing w:before="53" w:line="221" w:lineRule="auto"/>
              <w:ind w:firstLine="137"/>
              <w:rPr>
                <w:rFonts w:ascii="宋体" w:hAnsi="宋体" w:eastAsia="宋体" w:cs="宋体"/>
              </w:rPr>
            </w:pPr>
            <w:r>
              <w:rPr>
                <w:rFonts w:ascii="宋体" w:hAnsi="宋体" w:eastAsia="宋体" w:cs="宋体"/>
                <w:spacing w:val="-4"/>
              </w:rPr>
              <w:t>电子招</w:t>
            </w:r>
            <w:r>
              <w:rPr>
                <w:rFonts w:ascii="宋体" w:hAnsi="宋体" w:eastAsia="宋体" w:cs="宋体"/>
                <w:spacing w:val="-3"/>
              </w:rPr>
              <w:t>投标特殊要求</w:t>
            </w:r>
          </w:p>
        </w:tc>
        <w:tc>
          <w:tcPr>
            <w:tcW w:w="5531" w:type="dxa"/>
            <w:noWrap w:val="0"/>
            <w:vAlign w:val="top"/>
          </w:tcPr>
          <w:p>
            <w:pPr>
              <w:spacing w:before="130" w:line="468" w:lineRule="exact"/>
              <w:rPr>
                <w:rFonts w:ascii="宋体" w:hAnsi="宋体" w:eastAsia="宋体" w:cs="宋体"/>
              </w:rPr>
            </w:pPr>
            <w:r>
              <w:rPr>
                <w:rFonts w:hint="eastAsia" w:ascii="宋体" w:hAnsi="宋体" w:eastAsia="宋体" w:cs="宋体"/>
              </w:rPr>
              <w:t>不同投标人未出现使用相同的CA锁进行加解密或使用相同加密锁号的造价软件的情形。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41" w:type="dxa"/>
            <w:vMerge w:val="restart"/>
            <w:tcBorders>
              <w:bottom w:val="nil"/>
            </w:tcBorders>
            <w:noWrap w:val="0"/>
            <w:vAlign w:val="center"/>
          </w:tcPr>
          <w:p>
            <w:pPr>
              <w:jc w:val="center"/>
              <w:rPr>
                <w:rFonts w:ascii="宋体" w:hAnsi="宋体" w:eastAsia="宋体" w:cs="宋体"/>
              </w:rPr>
            </w:pPr>
            <w:r>
              <w:rPr>
                <w:rFonts w:hint="eastAsia"/>
                <w:color w:val="000000"/>
              </w:rPr>
              <w:t>2.1.2</w:t>
            </w:r>
          </w:p>
        </w:tc>
        <w:tc>
          <w:tcPr>
            <w:tcW w:w="1103" w:type="dxa"/>
            <w:gridSpan w:val="2"/>
            <w:vMerge w:val="restart"/>
            <w:tcBorders>
              <w:bottom w:val="nil"/>
            </w:tcBorders>
            <w:noWrap w:val="0"/>
            <w:vAlign w:val="center"/>
          </w:tcPr>
          <w:p>
            <w:pPr>
              <w:spacing w:line="360" w:lineRule="auto"/>
              <w:rPr>
                <w:rFonts w:ascii="宋体" w:hAnsi="宋体"/>
                <w:color w:val="000000"/>
                <w:szCs w:val="21"/>
              </w:rPr>
            </w:pPr>
            <w:r>
              <w:rPr>
                <w:rFonts w:hint="eastAsia" w:ascii="宋体" w:hAnsi="宋体"/>
                <w:color w:val="000000"/>
                <w:szCs w:val="21"/>
              </w:rPr>
              <w:t>资格评审标准</w:t>
            </w:r>
          </w:p>
          <w:p>
            <w:pPr>
              <w:jc w:val="center"/>
            </w:pPr>
          </w:p>
        </w:tc>
        <w:tc>
          <w:tcPr>
            <w:tcW w:w="2267" w:type="dxa"/>
            <w:noWrap w:val="0"/>
            <w:vAlign w:val="top"/>
          </w:tcPr>
          <w:p>
            <w:pPr>
              <w:spacing w:before="53" w:line="221" w:lineRule="auto"/>
              <w:ind w:firstLine="119"/>
              <w:rPr>
                <w:rFonts w:ascii="宋体" w:hAnsi="宋体" w:eastAsia="宋体" w:cs="宋体"/>
              </w:rPr>
            </w:pPr>
            <w:r>
              <w:rPr>
                <w:rFonts w:ascii="宋体" w:hAnsi="宋体" w:eastAsia="宋体" w:cs="宋体"/>
                <w:spacing w:val="-3"/>
              </w:rPr>
              <w:t>营业执照</w:t>
            </w:r>
          </w:p>
        </w:tc>
        <w:tc>
          <w:tcPr>
            <w:tcW w:w="5531" w:type="dxa"/>
            <w:noWrap w:val="0"/>
            <w:vAlign w:val="top"/>
          </w:tcPr>
          <w:p>
            <w:pPr>
              <w:spacing w:before="130" w:line="221" w:lineRule="auto"/>
              <w:ind w:firstLine="119"/>
              <w:rPr>
                <w:rFonts w:ascii="宋体" w:hAnsi="宋体" w:eastAsia="宋体" w:cs="宋体"/>
              </w:rPr>
            </w:pPr>
            <w:r>
              <w:rPr>
                <w:rFonts w:ascii="宋体" w:hAnsi="宋体" w:eastAsia="宋体" w:cs="宋体"/>
                <w:spacing w:val="-1"/>
              </w:rPr>
              <w:t>具备有效的营业执照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56" w:line="221" w:lineRule="auto"/>
              <w:ind w:firstLine="117"/>
              <w:rPr>
                <w:rFonts w:ascii="宋体" w:hAnsi="宋体" w:eastAsia="宋体" w:cs="宋体"/>
              </w:rPr>
            </w:pPr>
            <w:r>
              <w:rPr>
                <w:rFonts w:ascii="宋体" w:hAnsi="宋体" w:eastAsia="宋体" w:cs="宋体"/>
                <w:spacing w:val="-2"/>
              </w:rPr>
              <w:t>安全</w:t>
            </w:r>
            <w:r>
              <w:rPr>
                <w:rFonts w:ascii="宋体" w:hAnsi="宋体" w:eastAsia="宋体" w:cs="宋体"/>
                <w:spacing w:val="-1"/>
              </w:rPr>
              <w:t>生产许可证</w:t>
            </w:r>
          </w:p>
        </w:tc>
        <w:tc>
          <w:tcPr>
            <w:tcW w:w="5531" w:type="dxa"/>
            <w:noWrap w:val="0"/>
            <w:vAlign w:val="top"/>
          </w:tcPr>
          <w:p>
            <w:pPr>
              <w:spacing w:before="133" w:line="221" w:lineRule="auto"/>
              <w:ind w:firstLine="119"/>
              <w:rPr>
                <w:rFonts w:ascii="宋体" w:hAnsi="宋体" w:eastAsia="宋体" w:cs="宋体"/>
              </w:rPr>
            </w:pPr>
            <w:r>
              <w:rPr>
                <w:rFonts w:ascii="宋体" w:hAnsi="宋体" w:eastAsia="宋体" w:cs="宋体"/>
                <w:spacing w:val="-1"/>
              </w:rPr>
              <w:t>具备有效的安全生产</w:t>
            </w:r>
            <w:r>
              <w:rPr>
                <w:rFonts w:ascii="宋体" w:hAnsi="宋体" w:eastAsia="宋体" w:cs="宋体"/>
              </w:rPr>
              <w:t>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54" w:line="221" w:lineRule="auto"/>
              <w:ind w:firstLine="122"/>
              <w:rPr>
                <w:rFonts w:ascii="宋体" w:hAnsi="宋体" w:eastAsia="宋体" w:cs="宋体"/>
              </w:rPr>
            </w:pPr>
            <w:r>
              <w:rPr>
                <w:rFonts w:ascii="宋体" w:hAnsi="宋体" w:eastAsia="宋体" w:cs="宋体"/>
                <w:spacing w:val="-4"/>
              </w:rPr>
              <w:t>资质</w:t>
            </w:r>
            <w:r>
              <w:rPr>
                <w:rFonts w:ascii="宋体" w:hAnsi="宋体" w:eastAsia="宋体" w:cs="宋体"/>
                <w:spacing w:val="-3"/>
              </w:rPr>
              <w:t>等级</w:t>
            </w:r>
          </w:p>
        </w:tc>
        <w:tc>
          <w:tcPr>
            <w:tcW w:w="5531" w:type="dxa"/>
            <w:noWrap w:val="0"/>
            <w:vAlign w:val="top"/>
          </w:tcPr>
          <w:p>
            <w:pPr>
              <w:spacing w:before="131" w:line="220" w:lineRule="auto"/>
              <w:ind w:firstLine="116"/>
              <w:rPr>
                <w:rFonts w:ascii="宋体" w:hAnsi="宋体" w:eastAsia="宋体" w:cs="宋体"/>
              </w:rPr>
            </w:pPr>
            <w:r>
              <w:rPr>
                <w:rFonts w:ascii="宋体" w:hAnsi="宋体" w:eastAsia="宋体" w:cs="宋体"/>
                <w:spacing w:val="-1"/>
              </w:rPr>
              <w:t>符合第二章“投标人须知”第1.4.1</w:t>
            </w:r>
            <w:r>
              <w:rPr>
                <w:rFonts w:ascii="宋体" w:hAnsi="宋体" w:eastAsia="宋体" w:cs="宋体"/>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119" w:line="221" w:lineRule="auto"/>
              <w:ind w:firstLine="116"/>
              <w:rPr>
                <w:rFonts w:ascii="宋体" w:hAnsi="宋体" w:eastAsia="宋体" w:cs="宋体"/>
              </w:rPr>
            </w:pPr>
            <w:r>
              <w:rPr>
                <w:rFonts w:ascii="宋体" w:hAnsi="宋体" w:eastAsia="宋体" w:cs="宋体"/>
                <w:spacing w:val="-2"/>
              </w:rPr>
              <w:t>项目负</w:t>
            </w:r>
            <w:r>
              <w:rPr>
                <w:rFonts w:ascii="宋体" w:hAnsi="宋体" w:eastAsia="宋体" w:cs="宋体"/>
                <w:spacing w:val="-1"/>
              </w:rPr>
              <w:t>责人</w:t>
            </w:r>
          </w:p>
        </w:tc>
        <w:tc>
          <w:tcPr>
            <w:tcW w:w="5531" w:type="dxa"/>
            <w:noWrap w:val="0"/>
            <w:vAlign w:val="top"/>
          </w:tcPr>
          <w:p>
            <w:pPr>
              <w:spacing w:before="175" w:line="220" w:lineRule="auto"/>
              <w:ind w:firstLine="116"/>
              <w:rPr>
                <w:rFonts w:ascii="宋体" w:hAnsi="宋体" w:eastAsia="宋体" w:cs="宋体"/>
              </w:rPr>
            </w:pPr>
            <w:r>
              <w:rPr>
                <w:rFonts w:ascii="宋体" w:hAnsi="宋体" w:eastAsia="宋体" w:cs="宋体"/>
                <w:spacing w:val="-1"/>
              </w:rPr>
              <w:t>符合第二章</w:t>
            </w:r>
            <w:r>
              <w:rPr>
                <w:rFonts w:ascii="Calibri" w:hAnsi="Calibri" w:eastAsia="Calibri" w:cs="Calibri"/>
                <w:spacing w:val="-1"/>
              </w:rPr>
              <w:t>“</w:t>
            </w:r>
            <w:r>
              <w:rPr>
                <w:rFonts w:ascii="宋体" w:hAnsi="宋体" w:eastAsia="宋体" w:cs="宋体"/>
                <w:spacing w:val="-1"/>
              </w:rPr>
              <w:t>投标人须知</w:t>
            </w:r>
            <w:r>
              <w:rPr>
                <w:rFonts w:ascii="Calibri" w:hAnsi="Calibri" w:eastAsia="Calibri" w:cs="Calibri"/>
                <w:spacing w:val="-1"/>
              </w:rPr>
              <w:t>”</w:t>
            </w:r>
            <w:r>
              <w:rPr>
                <w:rFonts w:ascii="宋体" w:hAnsi="宋体" w:eastAsia="宋体" w:cs="宋体"/>
                <w:spacing w:val="-1"/>
              </w:rPr>
              <w:t>第</w:t>
            </w:r>
            <w:r>
              <w:rPr>
                <w:rFonts w:ascii="宋体" w:hAnsi="宋体" w:eastAsia="宋体" w:cs="宋体"/>
                <w:spacing w:val="-25"/>
              </w:rPr>
              <w:t xml:space="preserve"> </w:t>
            </w:r>
            <w:r>
              <w:rPr>
                <w:rFonts w:ascii="Calibri" w:hAnsi="Calibri" w:eastAsia="Calibri" w:cs="Calibri"/>
                <w:spacing w:val="-1"/>
              </w:rPr>
              <w:t>1.4.</w:t>
            </w:r>
            <w:r>
              <w:rPr>
                <w:rFonts w:ascii="Calibri" w:hAnsi="Calibri" w:eastAsia="Calibri" w:cs="Calibri"/>
              </w:rPr>
              <w:t>1</w:t>
            </w:r>
            <w:r>
              <w:rPr>
                <w:rFonts w:ascii="Calibri" w:hAnsi="Calibri" w:eastAsia="Calibri" w:cs="Calibri"/>
                <w:spacing w:val="-12"/>
              </w:rPr>
              <w:t xml:space="preserve"> </w:t>
            </w:r>
            <w:r>
              <w:rPr>
                <w:rFonts w:ascii="宋体" w:hAnsi="宋体" w:eastAsia="宋体" w:cs="宋体"/>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119" w:line="221" w:lineRule="auto"/>
              <w:ind w:firstLine="116"/>
              <w:rPr>
                <w:rFonts w:ascii="宋体" w:hAnsi="宋体" w:eastAsia="宋体" w:cs="宋体"/>
                <w:b w:val="0"/>
                <w:bCs w:val="0"/>
                <w:color w:val="00B0F0"/>
                <w:spacing w:val="-2"/>
              </w:rPr>
            </w:pPr>
            <w:r>
              <w:rPr>
                <w:rFonts w:hint="eastAsia" w:ascii="宋体" w:hAnsi="宋体" w:eastAsia="宋体" w:cs="宋体"/>
                <w:b w:val="0"/>
                <w:bCs w:val="0"/>
                <w:spacing w:val="-2"/>
              </w:rPr>
              <w:t>设计负责人</w:t>
            </w:r>
          </w:p>
        </w:tc>
        <w:tc>
          <w:tcPr>
            <w:tcW w:w="5531" w:type="dxa"/>
            <w:noWrap w:val="0"/>
            <w:vAlign w:val="top"/>
          </w:tcPr>
          <w:p>
            <w:pPr>
              <w:spacing w:before="175" w:line="220" w:lineRule="auto"/>
              <w:ind w:firstLine="116"/>
              <w:rPr>
                <w:rFonts w:ascii="宋体" w:hAnsi="宋体" w:eastAsia="宋体" w:cs="宋体"/>
                <w:b w:val="0"/>
                <w:bCs w:val="0"/>
                <w:color w:val="00B0F0"/>
                <w:spacing w:val="-1"/>
              </w:rPr>
            </w:pPr>
            <w:r>
              <w:rPr>
                <w:rFonts w:ascii="宋体" w:hAnsi="宋体" w:eastAsia="宋体" w:cs="宋体"/>
                <w:b w:val="0"/>
                <w:bCs w:val="0"/>
                <w:spacing w:val="-1"/>
              </w:rPr>
              <w:t>符合第二章“投标人须知”第 1.4.1 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119" w:line="221" w:lineRule="auto"/>
              <w:ind w:firstLine="116"/>
              <w:rPr>
                <w:rFonts w:ascii="宋体" w:hAnsi="宋体" w:eastAsia="宋体" w:cs="宋体"/>
                <w:spacing w:val="-2"/>
              </w:rPr>
            </w:pPr>
            <w:r>
              <w:rPr>
                <w:rFonts w:hint="eastAsia" w:ascii="宋体" w:hAnsi="宋体" w:eastAsia="宋体" w:cs="宋体"/>
                <w:spacing w:val="-2"/>
              </w:rPr>
              <w:t>施工负责人</w:t>
            </w:r>
          </w:p>
        </w:tc>
        <w:tc>
          <w:tcPr>
            <w:tcW w:w="5531" w:type="dxa"/>
            <w:noWrap w:val="0"/>
            <w:vAlign w:val="top"/>
          </w:tcPr>
          <w:p>
            <w:pPr>
              <w:spacing w:before="175" w:line="220" w:lineRule="auto"/>
              <w:ind w:firstLine="116"/>
              <w:rPr>
                <w:rFonts w:ascii="宋体" w:hAnsi="宋体" w:eastAsia="宋体" w:cs="宋体"/>
                <w:spacing w:val="-1"/>
              </w:rPr>
            </w:pPr>
            <w:r>
              <w:rPr>
                <w:rFonts w:ascii="宋体" w:hAnsi="宋体" w:eastAsia="宋体" w:cs="宋体"/>
                <w:spacing w:val="-1"/>
              </w:rPr>
              <w:t>符合第二章</w:t>
            </w:r>
            <w:r>
              <w:rPr>
                <w:rFonts w:ascii="Calibri" w:hAnsi="Calibri" w:eastAsia="Calibri" w:cs="Calibri"/>
                <w:spacing w:val="-1"/>
              </w:rPr>
              <w:t>“</w:t>
            </w:r>
            <w:r>
              <w:rPr>
                <w:rFonts w:ascii="宋体" w:hAnsi="宋体" w:eastAsia="宋体" w:cs="宋体"/>
                <w:spacing w:val="-1"/>
              </w:rPr>
              <w:t>投标人须知</w:t>
            </w:r>
            <w:r>
              <w:rPr>
                <w:rFonts w:ascii="Calibri" w:hAnsi="Calibri" w:eastAsia="Calibri" w:cs="Calibri"/>
                <w:spacing w:val="-1"/>
              </w:rPr>
              <w:t>”</w:t>
            </w:r>
            <w:r>
              <w:rPr>
                <w:rFonts w:ascii="宋体" w:hAnsi="宋体" w:eastAsia="宋体" w:cs="宋体"/>
                <w:spacing w:val="-1"/>
              </w:rPr>
              <w:t>第</w:t>
            </w:r>
            <w:r>
              <w:rPr>
                <w:rFonts w:ascii="宋体" w:hAnsi="宋体" w:eastAsia="宋体" w:cs="宋体"/>
                <w:spacing w:val="-25"/>
              </w:rPr>
              <w:t xml:space="preserve"> </w:t>
            </w:r>
            <w:r>
              <w:rPr>
                <w:rFonts w:ascii="Calibri" w:hAnsi="Calibri" w:eastAsia="Calibri" w:cs="Calibri"/>
                <w:spacing w:val="-1"/>
              </w:rPr>
              <w:t>1.4.</w:t>
            </w:r>
            <w:r>
              <w:rPr>
                <w:rFonts w:ascii="Calibri" w:hAnsi="Calibri" w:eastAsia="Calibri" w:cs="Calibri"/>
              </w:rPr>
              <w:t>1</w:t>
            </w:r>
            <w:r>
              <w:rPr>
                <w:rFonts w:ascii="Calibri" w:hAnsi="Calibri" w:eastAsia="Calibri" w:cs="Calibri"/>
                <w:spacing w:val="-12"/>
              </w:rPr>
              <w:t xml:space="preserve"> </w:t>
            </w:r>
            <w:r>
              <w:rPr>
                <w:rFonts w:ascii="宋体" w:hAnsi="宋体" w:eastAsia="宋体" w:cs="宋体"/>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120" w:line="221" w:lineRule="auto"/>
              <w:ind w:firstLine="112"/>
              <w:rPr>
                <w:rFonts w:ascii="宋体" w:hAnsi="宋体" w:eastAsia="宋体" w:cs="宋体"/>
              </w:rPr>
            </w:pPr>
            <w:r>
              <w:rPr>
                <w:rFonts w:ascii="宋体" w:hAnsi="宋体" w:eastAsia="宋体" w:cs="宋体"/>
                <w:spacing w:val="-1"/>
              </w:rPr>
              <w:t>业绩要求</w:t>
            </w:r>
          </w:p>
        </w:tc>
        <w:tc>
          <w:tcPr>
            <w:tcW w:w="5531" w:type="dxa"/>
            <w:noWrap w:val="0"/>
            <w:vAlign w:val="top"/>
          </w:tcPr>
          <w:p>
            <w:pPr>
              <w:spacing w:before="175" w:line="220" w:lineRule="auto"/>
              <w:ind w:firstLine="116"/>
              <w:rPr>
                <w:rFonts w:ascii="宋体" w:hAnsi="宋体" w:eastAsia="宋体" w:cs="宋体"/>
              </w:rPr>
            </w:pPr>
            <w:r>
              <w:rPr>
                <w:rFonts w:ascii="宋体" w:hAnsi="宋体" w:eastAsia="宋体" w:cs="宋体"/>
                <w:spacing w:val="-1"/>
              </w:rPr>
              <w:t>符合第二章</w:t>
            </w:r>
            <w:r>
              <w:rPr>
                <w:rFonts w:ascii="Calibri" w:hAnsi="Calibri" w:eastAsia="Calibri" w:cs="Calibri"/>
                <w:spacing w:val="-1"/>
              </w:rPr>
              <w:t>“</w:t>
            </w:r>
            <w:r>
              <w:rPr>
                <w:rFonts w:ascii="宋体" w:hAnsi="宋体" w:eastAsia="宋体" w:cs="宋体"/>
                <w:spacing w:val="-1"/>
              </w:rPr>
              <w:t>投标人须知</w:t>
            </w:r>
            <w:r>
              <w:rPr>
                <w:rFonts w:ascii="Calibri" w:hAnsi="Calibri" w:eastAsia="Calibri" w:cs="Calibri"/>
                <w:spacing w:val="-1"/>
              </w:rPr>
              <w:t>”</w:t>
            </w:r>
            <w:r>
              <w:rPr>
                <w:rFonts w:ascii="宋体" w:hAnsi="宋体" w:eastAsia="宋体" w:cs="宋体"/>
                <w:spacing w:val="-1"/>
              </w:rPr>
              <w:t>第</w:t>
            </w:r>
            <w:r>
              <w:rPr>
                <w:rFonts w:ascii="宋体" w:hAnsi="宋体" w:eastAsia="宋体" w:cs="宋体"/>
                <w:spacing w:val="-25"/>
              </w:rPr>
              <w:t xml:space="preserve"> </w:t>
            </w:r>
            <w:r>
              <w:rPr>
                <w:rFonts w:ascii="Calibri" w:hAnsi="Calibri" w:eastAsia="Calibri" w:cs="Calibri"/>
                <w:spacing w:val="-1"/>
              </w:rPr>
              <w:t>1.4.</w:t>
            </w:r>
            <w:r>
              <w:rPr>
                <w:rFonts w:ascii="Calibri" w:hAnsi="Calibri" w:eastAsia="Calibri" w:cs="Calibri"/>
              </w:rPr>
              <w:t>1</w:t>
            </w:r>
            <w:r>
              <w:rPr>
                <w:rFonts w:ascii="Calibri" w:hAnsi="Calibri" w:eastAsia="Calibri" w:cs="Calibri"/>
                <w:spacing w:val="-12"/>
              </w:rPr>
              <w:t xml:space="preserve"> </w:t>
            </w:r>
            <w:r>
              <w:rPr>
                <w:rFonts w:ascii="宋体" w:hAnsi="宋体" w:eastAsia="宋体" w:cs="宋体"/>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120" w:line="220" w:lineRule="auto"/>
              <w:ind w:firstLine="113"/>
              <w:rPr>
                <w:rFonts w:ascii="宋体" w:hAnsi="宋体" w:eastAsia="宋体" w:cs="宋体"/>
              </w:rPr>
            </w:pPr>
            <w:r>
              <w:rPr>
                <w:rFonts w:ascii="宋体" w:hAnsi="宋体" w:eastAsia="宋体" w:cs="宋体"/>
                <w:spacing w:val="-2"/>
              </w:rPr>
              <w:t>信</w:t>
            </w:r>
            <w:r>
              <w:rPr>
                <w:rFonts w:ascii="宋体" w:hAnsi="宋体" w:eastAsia="宋体" w:cs="宋体"/>
                <w:spacing w:val="-1"/>
              </w:rPr>
              <w:t>誉要求</w:t>
            </w:r>
          </w:p>
        </w:tc>
        <w:tc>
          <w:tcPr>
            <w:tcW w:w="5531" w:type="dxa"/>
            <w:noWrap w:val="0"/>
            <w:vAlign w:val="top"/>
          </w:tcPr>
          <w:p>
            <w:pPr>
              <w:spacing w:before="175" w:line="220" w:lineRule="auto"/>
              <w:ind w:firstLine="116"/>
              <w:rPr>
                <w:rFonts w:ascii="宋体" w:hAnsi="宋体" w:eastAsia="宋体" w:cs="宋体"/>
              </w:rPr>
            </w:pPr>
            <w:r>
              <w:rPr>
                <w:rFonts w:ascii="宋体" w:hAnsi="宋体" w:eastAsia="宋体" w:cs="宋体"/>
                <w:spacing w:val="-1"/>
              </w:rPr>
              <w:t>符合第二章</w:t>
            </w:r>
            <w:r>
              <w:rPr>
                <w:rFonts w:ascii="Calibri" w:hAnsi="Calibri" w:eastAsia="Calibri" w:cs="Calibri"/>
                <w:spacing w:val="-1"/>
              </w:rPr>
              <w:t>“</w:t>
            </w:r>
            <w:r>
              <w:rPr>
                <w:rFonts w:ascii="宋体" w:hAnsi="宋体" w:eastAsia="宋体" w:cs="宋体"/>
                <w:spacing w:val="-1"/>
              </w:rPr>
              <w:t>投标人须知</w:t>
            </w:r>
            <w:r>
              <w:rPr>
                <w:rFonts w:ascii="Calibri" w:hAnsi="Calibri" w:eastAsia="Calibri" w:cs="Calibri"/>
                <w:spacing w:val="-1"/>
              </w:rPr>
              <w:t>”</w:t>
            </w:r>
            <w:r>
              <w:rPr>
                <w:rFonts w:ascii="宋体" w:hAnsi="宋体" w:eastAsia="宋体" w:cs="宋体"/>
                <w:spacing w:val="-1"/>
              </w:rPr>
              <w:t>第</w:t>
            </w:r>
            <w:r>
              <w:rPr>
                <w:rFonts w:ascii="宋体" w:hAnsi="宋体" w:eastAsia="宋体" w:cs="宋体"/>
                <w:spacing w:val="-25"/>
              </w:rPr>
              <w:t xml:space="preserve"> </w:t>
            </w:r>
            <w:r>
              <w:rPr>
                <w:rFonts w:ascii="Calibri" w:hAnsi="Calibri" w:eastAsia="Calibri" w:cs="Calibri"/>
                <w:spacing w:val="-1"/>
              </w:rPr>
              <w:t>1.4.</w:t>
            </w:r>
            <w:r>
              <w:rPr>
                <w:rFonts w:ascii="Calibri" w:hAnsi="Calibri" w:eastAsia="Calibri" w:cs="Calibri"/>
              </w:rPr>
              <w:t>1</w:t>
            </w:r>
            <w:r>
              <w:rPr>
                <w:rFonts w:ascii="Calibri" w:hAnsi="Calibri" w:eastAsia="Calibri" w:cs="Calibri"/>
                <w:spacing w:val="-12"/>
              </w:rPr>
              <w:t xml:space="preserve"> </w:t>
            </w:r>
            <w:r>
              <w:rPr>
                <w:rFonts w:ascii="宋体" w:hAnsi="宋体" w:eastAsia="宋体" w:cs="宋体"/>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56" w:line="221" w:lineRule="auto"/>
              <w:ind w:firstLine="114"/>
              <w:rPr>
                <w:rFonts w:ascii="宋体" w:hAnsi="宋体" w:eastAsia="宋体" w:cs="宋体"/>
              </w:rPr>
            </w:pPr>
            <w:r>
              <w:rPr>
                <w:rFonts w:ascii="宋体" w:hAnsi="宋体" w:eastAsia="宋体" w:cs="宋体"/>
                <w:spacing w:val="-2"/>
              </w:rPr>
              <w:t>其他</w:t>
            </w:r>
            <w:r>
              <w:rPr>
                <w:rFonts w:ascii="宋体" w:hAnsi="宋体" w:eastAsia="宋体" w:cs="宋体"/>
                <w:spacing w:val="-1"/>
              </w:rPr>
              <w:t>要求</w:t>
            </w:r>
          </w:p>
        </w:tc>
        <w:tc>
          <w:tcPr>
            <w:tcW w:w="5531" w:type="dxa"/>
            <w:noWrap w:val="0"/>
            <w:vAlign w:val="top"/>
          </w:tcPr>
          <w:p>
            <w:pPr>
              <w:spacing w:before="132" w:line="220" w:lineRule="auto"/>
              <w:ind w:firstLine="116"/>
              <w:rPr>
                <w:rFonts w:ascii="宋体" w:hAnsi="宋体" w:eastAsia="宋体" w:cs="宋体"/>
              </w:rPr>
            </w:pPr>
            <w:r>
              <w:rPr>
                <w:rFonts w:ascii="宋体" w:hAnsi="宋体" w:eastAsia="宋体" w:cs="宋体"/>
                <w:spacing w:val="-1"/>
              </w:rPr>
              <w:t>符合第二章“投标人须知”第</w:t>
            </w:r>
            <w:r>
              <w:rPr>
                <w:rFonts w:ascii="宋体" w:hAnsi="宋体" w:eastAsia="宋体" w:cs="宋体"/>
                <w:spacing w:val="-20"/>
              </w:rPr>
              <w:t xml:space="preserve"> </w:t>
            </w:r>
            <w:r>
              <w:rPr>
                <w:rFonts w:ascii="宋体" w:hAnsi="宋体" w:eastAsia="宋体" w:cs="宋体"/>
                <w:spacing w:val="-1"/>
              </w:rPr>
              <w:t>1.4.1</w:t>
            </w:r>
            <w:r>
              <w:rPr>
                <w:rFonts w:ascii="宋体" w:hAnsi="宋体" w:eastAsia="宋体" w:cs="宋体"/>
                <w:spacing w:val="-20"/>
              </w:rPr>
              <w:t xml:space="preserve"> </w:t>
            </w:r>
            <w:r>
              <w:rPr>
                <w:rFonts w:ascii="宋体" w:hAnsi="宋体" w:eastAsia="宋体" w:cs="宋体"/>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41" w:type="dxa"/>
            <w:vMerge w:val="continue"/>
            <w:tcBorders>
              <w:top w:val="nil"/>
            </w:tcBorders>
            <w:noWrap w:val="0"/>
            <w:vAlign w:val="top"/>
          </w:tcPr>
          <w:p/>
        </w:tc>
        <w:tc>
          <w:tcPr>
            <w:tcW w:w="1103" w:type="dxa"/>
            <w:gridSpan w:val="2"/>
            <w:vMerge w:val="continue"/>
            <w:tcBorders>
              <w:top w:val="nil"/>
            </w:tcBorders>
            <w:noWrap w:val="0"/>
            <w:vAlign w:val="top"/>
          </w:tcPr>
          <w:p/>
        </w:tc>
        <w:tc>
          <w:tcPr>
            <w:tcW w:w="2267" w:type="dxa"/>
            <w:noWrap w:val="0"/>
            <w:vAlign w:val="top"/>
          </w:tcPr>
          <w:p>
            <w:pPr>
              <w:spacing w:before="121" w:line="221" w:lineRule="auto"/>
              <w:ind w:firstLine="116"/>
              <w:rPr>
                <w:rFonts w:ascii="宋体" w:hAnsi="宋体" w:eastAsia="宋体" w:cs="宋体"/>
              </w:rPr>
            </w:pPr>
            <w:r>
              <w:rPr>
                <w:rFonts w:ascii="宋体" w:hAnsi="宋体" w:eastAsia="宋体" w:cs="宋体"/>
                <w:spacing w:val="-1"/>
              </w:rPr>
              <w:t>不良行为记录要求</w:t>
            </w:r>
          </w:p>
        </w:tc>
        <w:tc>
          <w:tcPr>
            <w:tcW w:w="5531" w:type="dxa"/>
            <w:noWrap w:val="0"/>
            <w:vAlign w:val="top"/>
          </w:tcPr>
          <w:p>
            <w:pPr>
              <w:spacing w:before="178" w:line="220" w:lineRule="auto"/>
              <w:ind w:firstLine="116"/>
              <w:rPr>
                <w:rFonts w:ascii="宋体" w:hAnsi="宋体" w:eastAsia="宋体" w:cs="宋体"/>
              </w:rPr>
            </w:pPr>
            <w:r>
              <w:rPr>
                <w:rFonts w:ascii="宋体" w:hAnsi="宋体" w:eastAsia="宋体" w:cs="宋体"/>
                <w:spacing w:val="-1"/>
              </w:rPr>
              <w:t>符合第二章</w:t>
            </w:r>
            <w:r>
              <w:rPr>
                <w:rFonts w:ascii="Calibri" w:hAnsi="Calibri" w:eastAsia="Calibri" w:cs="Calibri"/>
                <w:spacing w:val="-1"/>
              </w:rPr>
              <w:t>“</w:t>
            </w:r>
            <w:r>
              <w:rPr>
                <w:rFonts w:ascii="宋体" w:hAnsi="宋体" w:eastAsia="宋体" w:cs="宋体"/>
                <w:spacing w:val="-1"/>
              </w:rPr>
              <w:t>投标人须知</w:t>
            </w:r>
            <w:r>
              <w:rPr>
                <w:rFonts w:ascii="Calibri" w:hAnsi="Calibri" w:eastAsia="Calibri" w:cs="Calibri"/>
                <w:spacing w:val="-1"/>
              </w:rPr>
              <w:t>”</w:t>
            </w:r>
            <w:r>
              <w:rPr>
                <w:rFonts w:ascii="宋体" w:hAnsi="宋体" w:eastAsia="宋体" w:cs="宋体"/>
                <w:spacing w:val="-1"/>
              </w:rPr>
              <w:t>第</w:t>
            </w:r>
            <w:r>
              <w:rPr>
                <w:rFonts w:ascii="宋体" w:hAnsi="宋体" w:eastAsia="宋体" w:cs="宋体"/>
                <w:spacing w:val="-25"/>
              </w:rPr>
              <w:t xml:space="preserve"> </w:t>
            </w:r>
            <w:r>
              <w:rPr>
                <w:rFonts w:ascii="Calibri" w:hAnsi="Calibri" w:eastAsia="Calibri" w:cs="Calibri"/>
                <w:spacing w:val="-1"/>
              </w:rPr>
              <w:t>1.4.</w:t>
            </w:r>
            <w:r>
              <w:rPr>
                <w:rFonts w:ascii="Calibri" w:hAnsi="Calibri" w:eastAsia="Calibri" w:cs="Calibri"/>
              </w:rPr>
              <w:t>1</w:t>
            </w:r>
            <w:r>
              <w:rPr>
                <w:rFonts w:ascii="Calibri" w:hAnsi="Calibri" w:eastAsia="Calibri" w:cs="Calibri"/>
                <w:spacing w:val="-12"/>
              </w:rPr>
              <w:t xml:space="preserve"> </w:t>
            </w:r>
            <w:r>
              <w:rPr>
                <w:rFonts w:ascii="宋体" w:hAnsi="宋体" w:eastAsia="宋体" w:cs="宋体"/>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41" w:type="dxa"/>
            <w:vMerge w:val="continue"/>
            <w:noWrap w:val="0"/>
            <w:vAlign w:val="top"/>
          </w:tcPr>
          <w:p>
            <w:pPr>
              <w:spacing w:before="121" w:line="221" w:lineRule="auto"/>
              <w:ind w:firstLine="116"/>
            </w:pPr>
          </w:p>
        </w:tc>
        <w:tc>
          <w:tcPr>
            <w:tcW w:w="1103" w:type="dxa"/>
            <w:gridSpan w:val="2"/>
            <w:vMerge w:val="continue"/>
            <w:noWrap w:val="0"/>
            <w:vAlign w:val="top"/>
          </w:tcPr>
          <w:p>
            <w:pPr>
              <w:spacing w:before="121" w:line="221" w:lineRule="auto"/>
              <w:ind w:firstLine="116"/>
            </w:pPr>
          </w:p>
        </w:tc>
        <w:tc>
          <w:tcPr>
            <w:tcW w:w="2267" w:type="dxa"/>
            <w:noWrap w:val="0"/>
            <w:vAlign w:val="top"/>
          </w:tcPr>
          <w:p>
            <w:pPr>
              <w:spacing w:before="121" w:line="221" w:lineRule="auto"/>
              <w:ind w:firstLine="116"/>
              <w:rPr>
                <w:rFonts w:ascii="宋体" w:hAnsi="宋体" w:eastAsia="宋体" w:cs="宋体"/>
                <w:color w:val="auto"/>
                <w:spacing w:val="-1"/>
              </w:rPr>
            </w:pPr>
            <w:r>
              <w:rPr>
                <w:rFonts w:hint="eastAsia" w:ascii="宋体" w:hAnsi="宋体" w:eastAsia="宋体" w:cs="宋体"/>
                <w:color w:val="auto"/>
                <w:spacing w:val="-1"/>
              </w:rPr>
              <w:t>联合体投标人</w:t>
            </w:r>
          </w:p>
        </w:tc>
        <w:tc>
          <w:tcPr>
            <w:tcW w:w="5531" w:type="dxa"/>
            <w:noWrap w:val="0"/>
            <w:vAlign w:val="top"/>
          </w:tcPr>
          <w:p>
            <w:pPr>
              <w:spacing w:before="121" w:line="221" w:lineRule="auto"/>
              <w:ind w:firstLine="116"/>
              <w:rPr>
                <w:rFonts w:ascii="宋体" w:hAnsi="宋体" w:eastAsia="宋体" w:cs="宋体"/>
                <w:color w:val="auto"/>
                <w:spacing w:val="-1"/>
              </w:rPr>
            </w:pPr>
            <w:r>
              <w:rPr>
                <w:rFonts w:hint="eastAsia" w:ascii="宋体" w:hAnsi="宋体" w:eastAsia="宋体" w:cs="宋体"/>
                <w:color w:val="auto"/>
                <w:spacing w:val="-1"/>
              </w:rPr>
              <w:t>符合第二章“投标人须知”第1.4.2 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041" w:type="dxa"/>
            <w:vMerge w:val="restart"/>
            <w:tcBorders>
              <w:bottom w:val="nil"/>
            </w:tcBorders>
            <w:noWrap w:val="0"/>
            <w:vAlign w:val="center"/>
          </w:tcPr>
          <w:p>
            <w:pPr>
              <w:jc w:val="center"/>
              <w:rPr>
                <w:rFonts w:ascii="Calibri" w:hAnsi="Calibri" w:eastAsia="Calibri" w:cs="Calibri"/>
              </w:rPr>
            </w:pPr>
            <w:r>
              <w:rPr>
                <w:rFonts w:hint="eastAsia"/>
                <w:color w:val="000000"/>
              </w:rPr>
              <w:t>2.1.3</w:t>
            </w:r>
          </w:p>
        </w:tc>
        <w:tc>
          <w:tcPr>
            <w:tcW w:w="1103" w:type="dxa"/>
            <w:gridSpan w:val="2"/>
            <w:vMerge w:val="restart"/>
            <w:tcBorders>
              <w:bottom w:val="nil"/>
            </w:tcBorders>
            <w:noWrap w:val="0"/>
            <w:vAlign w:val="center"/>
          </w:tcPr>
          <w:p>
            <w:pPr>
              <w:spacing w:line="360" w:lineRule="auto"/>
              <w:rPr>
                <w:rFonts w:ascii="宋体" w:hAnsi="宋体"/>
                <w:color w:val="000000"/>
                <w:szCs w:val="21"/>
              </w:rPr>
            </w:pPr>
            <w:r>
              <w:rPr>
                <w:rFonts w:hint="eastAsia" w:ascii="宋体" w:hAnsi="宋体"/>
                <w:color w:val="000000"/>
                <w:szCs w:val="21"/>
              </w:rPr>
              <w:t>响应性评审标准</w:t>
            </w:r>
          </w:p>
          <w:p>
            <w:pPr>
              <w:jc w:val="center"/>
              <w:rPr>
                <w:rFonts w:ascii="宋体" w:hAnsi="宋体" w:eastAsia="宋体" w:cs="宋体"/>
              </w:rPr>
            </w:pPr>
          </w:p>
        </w:tc>
        <w:tc>
          <w:tcPr>
            <w:tcW w:w="2267" w:type="dxa"/>
            <w:noWrap w:val="0"/>
            <w:vAlign w:val="top"/>
          </w:tcPr>
          <w:p>
            <w:pPr>
              <w:spacing w:before="56" w:line="221" w:lineRule="auto"/>
              <w:ind w:firstLine="115"/>
              <w:rPr>
                <w:rFonts w:ascii="宋体" w:hAnsi="宋体" w:eastAsia="宋体" w:cs="宋体"/>
              </w:rPr>
            </w:pPr>
            <w:r>
              <w:rPr>
                <w:rFonts w:ascii="宋体" w:hAnsi="宋体" w:eastAsia="宋体" w:cs="宋体"/>
                <w:spacing w:val="-2"/>
              </w:rPr>
              <w:t>投标内容</w:t>
            </w:r>
          </w:p>
        </w:tc>
        <w:tc>
          <w:tcPr>
            <w:tcW w:w="5531" w:type="dxa"/>
            <w:noWrap w:val="0"/>
            <w:vAlign w:val="top"/>
          </w:tcPr>
          <w:p>
            <w:pPr>
              <w:spacing w:before="133" w:line="220" w:lineRule="auto"/>
              <w:ind w:firstLine="116"/>
              <w:rPr>
                <w:rFonts w:ascii="宋体" w:hAnsi="宋体" w:eastAsia="宋体" w:cs="宋体"/>
              </w:rPr>
            </w:pPr>
            <w:r>
              <w:rPr>
                <w:rFonts w:ascii="宋体" w:hAnsi="宋体" w:eastAsia="宋体" w:cs="宋体"/>
                <w:spacing w:val="-2"/>
              </w:rPr>
              <w:t>符合第二章“投标人须知”第</w:t>
            </w:r>
            <w:r>
              <w:rPr>
                <w:rFonts w:ascii="宋体" w:hAnsi="宋体" w:eastAsia="宋体" w:cs="宋体"/>
                <w:spacing w:val="-37"/>
              </w:rPr>
              <w:t xml:space="preserve"> </w:t>
            </w:r>
            <w:r>
              <w:rPr>
                <w:rFonts w:ascii="宋体" w:hAnsi="宋体" w:eastAsia="宋体" w:cs="宋体"/>
                <w:spacing w:val="-1"/>
              </w:rPr>
              <w:t>1.3.1</w:t>
            </w:r>
            <w:r>
              <w:rPr>
                <w:rFonts w:ascii="宋体" w:hAnsi="宋体" w:eastAsia="宋体" w:cs="宋体"/>
                <w:spacing w:val="-37"/>
              </w:rPr>
              <w:t xml:space="preserve"> </w:t>
            </w:r>
            <w:r>
              <w:rPr>
                <w:rFonts w:ascii="宋体" w:hAnsi="宋体" w:eastAsia="宋体" w:cs="宋体"/>
                <w:spacing w:val="-2"/>
              </w:rPr>
              <w:t>项规</w:t>
            </w:r>
            <w:r>
              <w:rPr>
                <w:rFonts w:ascii="宋体" w:hAnsi="宋体" w:eastAsia="宋体" w:cs="宋体"/>
                <w:spacing w:val="-1"/>
              </w:rPr>
              <w:t>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56" w:line="221" w:lineRule="auto"/>
              <w:ind w:firstLine="115"/>
              <w:rPr>
                <w:rFonts w:ascii="宋体" w:hAnsi="宋体" w:eastAsia="宋体" w:cs="宋体"/>
              </w:rPr>
            </w:pPr>
            <w:r>
              <w:rPr>
                <w:rFonts w:ascii="宋体" w:hAnsi="宋体" w:eastAsia="宋体" w:cs="宋体"/>
                <w:spacing w:val="-3"/>
              </w:rPr>
              <w:t>工</w:t>
            </w:r>
            <w:r>
              <w:rPr>
                <w:rFonts w:ascii="宋体" w:hAnsi="宋体" w:eastAsia="宋体" w:cs="宋体"/>
                <w:spacing w:val="-2"/>
              </w:rPr>
              <w:t>期</w:t>
            </w:r>
          </w:p>
        </w:tc>
        <w:tc>
          <w:tcPr>
            <w:tcW w:w="5531" w:type="dxa"/>
            <w:noWrap w:val="0"/>
            <w:vAlign w:val="top"/>
          </w:tcPr>
          <w:p>
            <w:pPr>
              <w:spacing w:before="132" w:line="220" w:lineRule="auto"/>
              <w:ind w:firstLine="116"/>
              <w:rPr>
                <w:rFonts w:ascii="宋体" w:hAnsi="宋体" w:eastAsia="宋体" w:cs="宋体"/>
              </w:rPr>
            </w:pPr>
            <w:r>
              <w:rPr>
                <w:rFonts w:ascii="宋体" w:hAnsi="宋体" w:eastAsia="宋体" w:cs="宋体"/>
                <w:spacing w:val="-1"/>
              </w:rPr>
              <w:t>符合第二章“投标人须知”第</w:t>
            </w:r>
            <w:r>
              <w:rPr>
                <w:rFonts w:ascii="宋体" w:hAnsi="宋体" w:eastAsia="宋体" w:cs="宋体"/>
                <w:spacing w:val="-20"/>
              </w:rPr>
              <w:t xml:space="preserve"> </w:t>
            </w:r>
            <w:r>
              <w:rPr>
                <w:rFonts w:ascii="宋体" w:hAnsi="宋体" w:eastAsia="宋体" w:cs="宋体"/>
                <w:spacing w:val="-1"/>
              </w:rPr>
              <w:t>1.3.2</w:t>
            </w:r>
            <w:r>
              <w:rPr>
                <w:rFonts w:ascii="宋体" w:hAnsi="宋体" w:eastAsia="宋体" w:cs="宋体"/>
                <w:spacing w:val="-20"/>
              </w:rPr>
              <w:t xml:space="preserve"> </w:t>
            </w:r>
            <w:r>
              <w:rPr>
                <w:rFonts w:ascii="宋体" w:hAnsi="宋体" w:eastAsia="宋体" w:cs="宋体"/>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56" w:line="221" w:lineRule="auto"/>
              <w:ind w:firstLine="114"/>
              <w:rPr>
                <w:rFonts w:ascii="宋体" w:hAnsi="宋体" w:eastAsia="宋体" w:cs="宋体"/>
              </w:rPr>
            </w:pPr>
            <w:r>
              <w:rPr>
                <w:rFonts w:ascii="宋体" w:hAnsi="宋体" w:eastAsia="宋体" w:cs="宋体"/>
                <w:spacing w:val="-2"/>
              </w:rPr>
              <w:t>质量要</w:t>
            </w:r>
            <w:r>
              <w:rPr>
                <w:rFonts w:ascii="宋体" w:hAnsi="宋体" w:eastAsia="宋体" w:cs="宋体"/>
                <w:spacing w:val="-1"/>
              </w:rPr>
              <w:t>求</w:t>
            </w:r>
          </w:p>
        </w:tc>
        <w:tc>
          <w:tcPr>
            <w:tcW w:w="5531" w:type="dxa"/>
            <w:noWrap w:val="0"/>
            <w:vAlign w:val="top"/>
          </w:tcPr>
          <w:p>
            <w:pPr>
              <w:spacing w:before="132" w:line="220" w:lineRule="auto"/>
              <w:ind w:firstLine="116"/>
              <w:rPr>
                <w:rFonts w:ascii="宋体" w:hAnsi="宋体" w:eastAsia="宋体" w:cs="宋体"/>
              </w:rPr>
            </w:pPr>
            <w:r>
              <w:rPr>
                <w:rFonts w:ascii="宋体" w:hAnsi="宋体" w:eastAsia="宋体" w:cs="宋体"/>
                <w:spacing w:val="-1"/>
              </w:rPr>
              <w:t>符合第二章“投标人须知”第</w:t>
            </w:r>
            <w:r>
              <w:rPr>
                <w:rFonts w:ascii="宋体" w:hAnsi="宋体" w:eastAsia="宋体" w:cs="宋体"/>
                <w:spacing w:val="-20"/>
              </w:rPr>
              <w:t xml:space="preserve"> </w:t>
            </w:r>
            <w:r>
              <w:rPr>
                <w:rFonts w:ascii="宋体" w:hAnsi="宋体" w:eastAsia="宋体" w:cs="宋体"/>
                <w:spacing w:val="-1"/>
              </w:rPr>
              <w:t>1.3.3</w:t>
            </w:r>
            <w:r>
              <w:rPr>
                <w:rFonts w:ascii="宋体" w:hAnsi="宋体" w:eastAsia="宋体" w:cs="宋体"/>
                <w:spacing w:val="-20"/>
              </w:rPr>
              <w:t xml:space="preserve"> </w:t>
            </w:r>
            <w:r>
              <w:rPr>
                <w:rFonts w:ascii="宋体" w:hAnsi="宋体" w:eastAsia="宋体" w:cs="宋体"/>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59" w:line="221" w:lineRule="auto"/>
              <w:ind w:firstLine="115"/>
              <w:rPr>
                <w:rFonts w:ascii="宋体" w:hAnsi="宋体" w:eastAsia="宋体" w:cs="宋体"/>
              </w:rPr>
            </w:pPr>
            <w:r>
              <w:rPr>
                <w:rFonts w:ascii="宋体" w:hAnsi="宋体" w:eastAsia="宋体" w:cs="宋体"/>
                <w:spacing w:val="-2"/>
              </w:rPr>
              <w:t>投标有</w:t>
            </w:r>
            <w:r>
              <w:rPr>
                <w:rFonts w:ascii="宋体" w:hAnsi="宋体" w:eastAsia="宋体" w:cs="宋体"/>
                <w:spacing w:val="-1"/>
              </w:rPr>
              <w:t>效期</w:t>
            </w:r>
          </w:p>
        </w:tc>
        <w:tc>
          <w:tcPr>
            <w:tcW w:w="5531" w:type="dxa"/>
            <w:noWrap w:val="0"/>
            <w:vAlign w:val="top"/>
          </w:tcPr>
          <w:p>
            <w:pPr>
              <w:spacing w:before="136" w:line="220" w:lineRule="auto"/>
              <w:ind w:firstLine="116"/>
              <w:rPr>
                <w:rFonts w:ascii="宋体" w:hAnsi="宋体" w:eastAsia="宋体" w:cs="宋体"/>
              </w:rPr>
            </w:pPr>
            <w:r>
              <w:rPr>
                <w:rFonts w:ascii="宋体" w:hAnsi="宋体" w:eastAsia="宋体" w:cs="宋体"/>
                <w:spacing w:val="-2"/>
              </w:rPr>
              <w:t>符合第二章“投标人须知”第</w:t>
            </w:r>
            <w:r>
              <w:rPr>
                <w:rFonts w:ascii="宋体" w:hAnsi="宋体" w:eastAsia="宋体" w:cs="宋体"/>
                <w:spacing w:val="-37"/>
              </w:rPr>
              <w:t xml:space="preserve"> </w:t>
            </w:r>
            <w:r>
              <w:rPr>
                <w:rFonts w:ascii="宋体" w:hAnsi="宋体" w:eastAsia="宋体" w:cs="宋体"/>
                <w:spacing w:val="-1"/>
              </w:rPr>
              <w:t>3.3.1</w:t>
            </w:r>
            <w:r>
              <w:rPr>
                <w:rFonts w:ascii="宋体" w:hAnsi="宋体" w:eastAsia="宋体" w:cs="宋体"/>
                <w:spacing w:val="-37"/>
              </w:rPr>
              <w:t xml:space="preserve"> </w:t>
            </w:r>
            <w:r>
              <w:rPr>
                <w:rFonts w:ascii="宋体" w:hAnsi="宋体" w:eastAsia="宋体" w:cs="宋体"/>
                <w:spacing w:val="-2"/>
              </w:rPr>
              <w:t>项规</w:t>
            </w:r>
            <w:r>
              <w:rPr>
                <w:rFonts w:ascii="宋体" w:hAnsi="宋体" w:eastAsia="宋体" w:cs="宋体"/>
                <w:spacing w:val="-1"/>
              </w:rPr>
              <w:t>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57" w:line="221" w:lineRule="auto"/>
              <w:ind w:firstLine="115"/>
              <w:rPr>
                <w:rFonts w:ascii="宋体" w:hAnsi="宋体" w:eastAsia="宋体" w:cs="宋体"/>
              </w:rPr>
            </w:pPr>
            <w:r>
              <w:rPr>
                <w:rFonts w:ascii="宋体" w:hAnsi="宋体" w:eastAsia="宋体" w:cs="宋体"/>
                <w:spacing w:val="-2"/>
              </w:rPr>
              <w:t>投标保</w:t>
            </w:r>
            <w:r>
              <w:rPr>
                <w:rFonts w:ascii="宋体" w:hAnsi="宋体" w:eastAsia="宋体" w:cs="宋体"/>
                <w:spacing w:val="-1"/>
              </w:rPr>
              <w:t>证金</w:t>
            </w:r>
          </w:p>
        </w:tc>
        <w:tc>
          <w:tcPr>
            <w:tcW w:w="5531" w:type="dxa"/>
            <w:noWrap w:val="0"/>
            <w:vAlign w:val="top"/>
          </w:tcPr>
          <w:p>
            <w:pPr>
              <w:spacing w:before="133" w:line="220" w:lineRule="auto"/>
              <w:ind w:firstLine="116"/>
              <w:rPr>
                <w:rFonts w:ascii="宋体" w:hAnsi="宋体" w:eastAsia="宋体" w:cs="宋体"/>
              </w:rPr>
            </w:pPr>
            <w:r>
              <w:rPr>
                <w:rFonts w:ascii="宋体" w:hAnsi="宋体" w:eastAsia="宋体" w:cs="宋体"/>
                <w:spacing w:val="-1"/>
              </w:rPr>
              <w:t>符合第二章“投标人须知”第</w:t>
            </w:r>
            <w:r>
              <w:rPr>
                <w:rFonts w:ascii="宋体" w:hAnsi="宋体" w:eastAsia="宋体" w:cs="宋体"/>
                <w:spacing w:val="-20"/>
              </w:rPr>
              <w:t xml:space="preserve"> </w:t>
            </w:r>
            <w:r>
              <w:rPr>
                <w:rFonts w:ascii="宋体" w:hAnsi="宋体" w:eastAsia="宋体" w:cs="宋体"/>
                <w:spacing w:val="-1"/>
              </w:rPr>
              <w:t>3.4.1</w:t>
            </w:r>
            <w:r>
              <w:rPr>
                <w:rFonts w:ascii="宋体" w:hAnsi="宋体" w:eastAsia="宋体" w:cs="宋体"/>
                <w:spacing w:val="-20"/>
              </w:rPr>
              <w:t xml:space="preserve"> </w:t>
            </w:r>
            <w:r>
              <w:rPr>
                <w:rFonts w:ascii="宋体" w:hAnsi="宋体" w:eastAsia="宋体" w:cs="宋体"/>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041" w:type="dxa"/>
            <w:vMerge w:val="continue"/>
            <w:tcBorders>
              <w:top w:val="nil"/>
              <w:bottom w:val="nil"/>
            </w:tcBorders>
            <w:noWrap w:val="0"/>
            <w:vAlign w:val="top"/>
          </w:tcPr>
          <w:p/>
        </w:tc>
        <w:tc>
          <w:tcPr>
            <w:tcW w:w="1103" w:type="dxa"/>
            <w:gridSpan w:val="2"/>
            <w:vMerge w:val="continue"/>
            <w:tcBorders>
              <w:top w:val="nil"/>
              <w:bottom w:val="nil"/>
            </w:tcBorders>
            <w:noWrap w:val="0"/>
            <w:vAlign w:val="top"/>
          </w:tcPr>
          <w:p/>
        </w:tc>
        <w:tc>
          <w:tcPr>
            <w:tcW w:w="2267" w:type="dxa"/>
            <w:noWrap w:val="0"/>
            <w:vAlign w:val="top"/>
          </w:tcPr>
          <w:p>
            <w:pPr>
              <w:spacing w:before="56" w:line="219" w:lineRule="auto"/>
              <w:ind w:firstLine="111"/>
              <w:rPr>
                <w:rFonts w:ascii="宋体" w:hAnsi="宋体" w:eastAsia="宋体" w:cs="宋体"/>
              </w:rPr>
            </w:pPr>
            <w:r>
              <w:rPr>
                <w:rFonts w:ascii="宋体" w:hAnsi="宋体" w:eastAsia="宋体" w:cs="宋体"/>
                <w:spacing w:val="-1"/>
              </w:rPr>
              <w:t>报价清</w:t>
            </w:r>
            <w:r>
              <w:rPr>
                <w:rFonts w:ascii="宋体" w:hAnsi="宋体" w:eastAsia="宋体" w:cs="宋体"/>
              </w:rPr>
              <w:t>单</w:t>
            </w:r>
          </w:p>
        </w:tc>
        <w:tc>
          <w:tcPr>
            <w:tcW w:w="5531" w:type="dxa"/>
            <w:noWrap w:val="0"/>
            <w:vAlign w:val="top"/>
          </w:tcPr>
          <w:p>
            <w:pPr>
              <w:spacing w:before="133" w:line="220" w:lineRule="auto"/>
              <w:ind w:firstLine="116"/>
              <w:rPr>
                <w:rFonts w:ascii="宋体" w:hAnsi="宋体" w:eastAsia="宋体" w:cs="宋体"/>
              </w:rPr>
            </w:pPr>
            <w:r>
              <w:rPr>
                <w:rFonts w:ascii="宋体" w:hAnsi="宋体" w:eastAsia="宋体" w:cs="宋体"/>
                <w:spacing w:val="-1"/>
              </w:rPr>
              <w:t>符合第五</w:t>
            </w:r>
            <w:r>
              <w:rPr>
                <w:rFonts w:ascii="宋体" w:hAnsi="宋体" w:eastAsia="宋体" w:cs="宋体"/>
              </w:rPr>
              <w:t>章“工程量清单或招标要求”给出的范围及数量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41" w:type="dxa"/>
            <w:vMerge w:val="continue"/>
            <w:tcBorders>
              <w:top w:val="nil"/>
            </w:tcBorders>
            <w:noWrap w:val="0"/>
            <w:vAlign w:val="top"/>
          </w:tcPr>
          <w:p/>
        </w:tc>
        <w:tc>
          <w:tcPr>
            <w:tcW w:w="1103" w:type="dxa"/>
            <w:gridSpan w:val="2"/>
            <w:vMerge w:val="continue"/>
            <w:tcBorders>
              <w:top w:val="nil"/>
            </w:tcBorders>
            <w:noWrap w:val="0"/>
            <w:vAlign w:val="top"/>
          </w:tcPr>
          <w:p/>
        </w:tc>
        <w:tc>
          <w:tcPr>
            <w:tcW w:w="2267" w:type="dxa"/>
            <w:noWrap w:val="0"/>
            <w:vAlign w:val="top"/>
          </w:tcPr>
          <w:p>
            <w:pPr>
              <w:spacing w:before="55" w:line="221" w:lineRule="auto"/>
              <w:ind w:firstLine="114"/>
              <w:rPr>
                <w:rFonts w:ascii="宋体" w:hAnsi="宋体" w:eastAsia="宋体" w:cs="宋体"/>
              </w:rPr>
            </w:pPr>
            <w:r>
              <w:rPr>
                <w:rFonts w:ascii="宋体" w:hAnsi="宋体" w:eastAsia="宋体" w:cs="宋体"/>
                <w:spacing w:val="-1"/>
              </w:rPr>
              <w:t>技术标准和要</w:t>
            </w:r>
            <w:r>
              <w:rPr>
                <w:rFonts w:ascii="宋体" w:hAnsi="宋体" w:eastAsia="宋体" w:cs="宋体"/>
              </w:rPr>
              <w:t>求</w:t>
            </w:r>
          </w:p>
        </w:tc>
        <w:tc>
          <w:tcPr>
            <w:tcW w:w="5531" w:type="dxa"/>
            <w:noWrap w:val="0"/>
            <w:vAlign w:val="top"/>
          </w:tcPr>
          <w:p>
            <w:pPr>
              <w:spacing w:before="132" w:line="220" w:lineRule="auto"/>
              <w:ind w:firstLine="116"/>
              <w:rPr>
                <w:rFonts w:ascii="宋体" w:hAnsi="宋体" w:eastAsia="宋体" w:cs="宋体"/>
              </w:rPr>
            </w:pPr>
            <w:r>
              <w:rPr>
                <w:rFonts w:ascii="宋体" w:hAnsi="宋体" w:eastAsia="宋体" w:cs="宋体"/>
                <w:spacing w:val="-1"/>
              </w:rPr>
              <w:t>符合第七章</w:t>
            </w:r>
            <w:r>
              <w:rPr>
                <w:rFonts w:ascii="宋体" w:hAnsi="宋体" w:eastAsia="宋体" w:cs="宋体"/>
              </w:rPr>
              <w:t>“技术标准和要求”规定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9942" w:type="dxa"/>
            <w:gridSpan w:val="5"/>
            <w:noWrap w:val="0"/>
            <w:vAlign w:val="top"/>
          </w:tcPr>
          <w:p>
            <w:pPr>
              <w:spacing w:before="55" w:line="257" w:lineRule="auto"/>
              <w:ind w:left="116" w:right="105"/>
              <w:rPr>
                <w:rFonts w:ascii="宋体" w:hAnsi="宋体" w:eastAsia="宋体" w:cs="宋体"/>
              </w:rPr>
            </w:pPr>
            <w:r>
              <w:rPr>
                <w:rFonts w:ascii="宋体" w:hAnsi="宋体" w:eastAsia="宋体" w:cs="宋体"/>
                <w:b/>
                <w:bCs/>
              </w:rPr>
              <w:t>注</w:t>
            </w:r>
            <w:r>
              <w:rPr>
                <w:rFonts w:ascii="宋体" w:hAnsi="宋体" w:eastAsia="宋体" w:cs="宋体"/>
                <w:b/>
                <w:bCs/>
                <w:spacing w:val="-1"/>
              </w:rPr>
              <w:t>：</w:t>
            </w:r>
            <w:r>
              <w:rPr>
                <w:rFonts w:ascii="宋体" w:hAnsi="宋体" w:eastAsia="宋体" w:cs="宋体"/>
                <w:b/>
                <w:bCs/>
                <w:spacing w:val="-77"/>
              </w:rPr>
              <w:t xml:space="preserve"> </w:t>
            </w:r>
            <w:r>
              <w:rPr>
                <w:rFonts w:ascii="宋体" w:hAnsi="宋体" w:eastAsia="宋体" w:cs="宋体"/>
                <w:b/>
                <w:bCs/>
              </w:rPr>
              <w:t>未通过初步审查（形式评审、资格评审、响应性评审）的投标人，</w:t>
            </w:r>
            <w:r>
              <w:rPr>
                <w:rFonts w:ascii="宋体" w:hAnsi="宋体" w:eastAsia="宋体" w:cs="宋体"/>
                <w:b/>
                <w:bCs/>
                <w:spacing w:val="-77"/>
              </w:rPr>
              <w:t xml:space="preserve"> </w:t>
            </w:r>
            <w:r>
              <w:rPr>
                <w:rFonts w:ascii="宋体" w:hAnsi="宋体" w:eastAsia="宋体" w:cs="宋体"/>
                <w:b/>
                <w:bCs/>
              </w:rPr>
              <w:t xml:space="preserve">作无效标处理，且不再进入后续评 </w:t>
            </w:r>
            <w:r>
              <w:rPr>
                <w:rFonts w:ascii="宋体" w:hAnsi="宋体" w:eastAsia="宋体" w:cs="宋体"/>
                <w:b/>
                <w:bCs/>
                <w:spacing w:val="2"/>
              </w:rPr>
              <w:t>标程序，且</w:t>
            </w:r>
            <w:r>
              <w:rPr>
                <w:rFonts w:ascii="宋体" w:hAnsi="宋体" w:eastAsia="宋体" w:cs="宋体"/>
                <w:b/>
                <w:bCs/>
                <w:spacing w:val="1"/>
              </w:rPr>
              <w:t>投标报价不参与商务标评标基准价的计算</w:t>
            </w:r>
            <w:r>
              <w:rPr>
                <w:rFonts w:ascii="宋体" w:hAnsi="宋体" w:eastAsia="宋体" w:cs="宋体"/>
                <w:b/>
                <w:bCs/>
                <w:spacing w:val="2"/>
              </w:rPr>
              <w:t>。</w:t>
            </w:r>
            <w:r>
              <w:rPr>
                <w:rFonts w:ascii="宋体" w:hAnsi="宋体" w:eastAsia="宋体" w:cs="宋体"/>
                <w:b/>
                <w:bCs/>
                <w:spacing w:val="1"/>
              </w:rPr>
              <w:t>评委会只对通过初步审查的投标文件作进一步的评</w:t>
            </w:r>
            <w:r>
              <w:rPr>
                <w:rFonts w:ascii="宋体" w:hAnsi="宋体" w:eastAsia="宋体" w:cs="宋体"/>
                <w:b/>
                <w:bCs/>
              </w:rPr>
              <w:t xml:space="preserve"> 审</w:t>
            </w:r>
            <w:r>
              <w:rPr>
                <w:rFonts w:ascii="宋体" w:hAnsi="宋体" w:eastAsia="宋体" w:cs="宋体"/>
                <w:b/>
                <w:bCs/>
                <w:spacing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2144" w:type="dxa"/>
            <w:gridSpan w:val="3"/>
            <w:noWrap w:val="0"/>
            <w:vAlign w:val="top"/>
          </w:tcPr>
          <w:p>
            <w:pPr>
              <w:spacing w:before="273" w:line="183" w:lineRule="auto"/>
              <w:ind w:firstLine="817"/>
              <w:rPr>
                <w:rFonts w:ascii="宋体" w:hAnsi="宋体" w:eastAsia="宋体" w:cs="宋体"/>
              </w:rPr>
            </w:pPr>
            <w:r>
              <w:rPr>
                <w:rFonts w:ascii="宋体" w:hAnsi="宋体" w:eastAsia="宋体" w:cs="宋体"/>
                <w:spacing w:val="-2"/>
              </w:rPr>
              <w:t>2.</w:t>
            </w:r>
            <w:r>
              <w:rPr>
                <w:rFonts w:ascii="宋体" w:hAnsi="宋体" w:eastAsia="宋体" w:cs="宋体"/>
                <w:spacing w:val="-1"/>
              </w:rPr>
              <w:t>2.1</w:t>
            </w:r>
          </w:p>
        </w:tc>
        <w:tc>
          <w:tcPr>
            <w:tcW w:w="2267" w:type="dxa"/>
            <w:noWrap w:val="0"/>
            <w:vAlign w:val="top"/>
          </w:tcPr>
          <w:p>
            <w:pPr>
              <w:spacing w:before="84" w:line="313" w:lineRule="exact"/>
              <w:ind w:firstLine="721"/>
              <w:rPr>
                <w:rFonts w:ascii="宋体" w:hAnsi="宋体" w:eastAsia="宋体" w:cs="宋体"/>
              </w:rPr>
            </w:pPr>
            <w:r>
              <w:rPr>
                <w:rFonts w:ascii="宋体" w:hAnsi="宋体" w:eastAsia="宋体" w:cs="宋体"/>
                <w:spacing w:val="-2"/>
                <w:position w:val="7"/>
              </w:rPr>
              <w:t>分值构成</w:t>
            </w:r>
          </w:p>
          <w:p>
            <w:pPr>
              <w:spacing w:line="221" w:lineRule="auto"/>
              <w:ind w:firstLine="547"/>
              <w:rPr>
                <w:rFonts w:ascii="宋体" w:hAnsi="宋体" w:eastAsia="宋体" w:cs="宋体"/>
              </w:rPr>
            </w:pPr>
            <w:r>
              <w:rPr>
                <w:rFonts w:ascii="宋体" w:hAnsi="宋体" w:eastAsia="宋体" w:cs="宋体"/>
                <w:spacing w:val="-4"/>
              </w:rPr>
              <w:t>(</w:t>
            </w:r>
            <w:r>
              <w:rPr>
                <w:rFonts w:ascii="宋体" w:hAnsi="宋体" w:eastAsia="宋体" w:cs="宋体"/>
                <w:spacing w:val="-7"/>
              </w:rPr>
              <w:t>总分</w:t>
            </w:r>
            <w:r>
              <w:rPr>
                <w:rFonts w:ascii="宋体" w:hAnsi="宋体" w:eastAsia="宋体" w:cs="宋体"/>
                <w:spacing w:val="-54"/>
              </w:rPr>
              <w:t xml:space="preserve"> </w:t>
            </w:r>
            <w:r>
              <w:rPr>
                <w:rFonts w:ascii="宋体" w:hAnsi="宋体" w:eastAsia="宋体" w:cs="宋体"/>
                <w:spacing w:val="-4"/>
              </w:rPr>
              <w:t>100</w:t>
            </w:r>
            <w:r>
              <w:rPr>
                <w:rFonts w:ascii="宋体" w:hAnsi="宋体" w:eastAsia="宋体" w:cs="宋体"/>
                <w:spacing w:val="-54"/>
              </w:rPr>
              <w:t xml:space="preserve"> </w:t>
            </w:r>
            <w:r>
              <w:rPr>
                <w:rFonts w:ascii="宋体" w:hAnsi="宋体" w:eastAsia="宋体" w:cs="宋体"/>
                <w:spacing w:val="-7"/>
              </w:rPr>
              <w:t>分</w:t>
            </w:r>
            <w:r>
              <w:rPr>
                <w:rFonts w:ascii="宋体" w:hAnsi="宋体" w:eastAsia="宋体" w:cs="宋体"/>
                <w:spacing w:val="-4"/>
              </w:rPr>
              <w:t>)</w:t>
            </w:r>
          </w:p>
        </w:tc>
        <w:tc>
          <w:tcPr>
            <w:tcW w:w="5531" w:type="dxa"/>
            <w:noWrap w:val="0"/>
            <w:vAlign w:val="top"/>
          </w:tcPr>
          <w:p>
            <w:pPr>
              <w:spacing w:before="55" w:line="313" w:lineRule="exact"/>
              <w:ind w:firstLine="119"/>
              <w:rPr>
                <w:rFonts w:ascii="宋体" w:hAnsi="宋体" w:eastAsia="宋体" w:cs="宋体"/>
              </w:rPr>
            </w:pPr>
            <w:r>
              <w:rPr>
                <w:rFonts w:ascii="宋体" w:hAnsi="宋体" w:eastAsia="宋体" w:cs="宋体"/>
                <w:position w:val="7"/>
              </w:rPr>
              <w:t>商务标（</w:t>
            </w:r>
            <w:r>
              <w:rPr>
                <w:rFonts w:ascii="Calibri" w:hAnsi="Calibri" w:eastAsia="Calibri" w:cs="Calibri"/>
                <w:position w:val="7"/>
              </w:rPr>
              <w:t>50</w:t>
            </w:r>
            <w:r>
              <w:rPr>
                <w:rFonts w:ascii="宋体" w:hAnsi="宋体" w:eastAsia="宋体" w:cs="宋体"/>
                <w:position w:val="7"/>
              </w:rPr>
              <w:t>分</w:t>
            </w:r>
            <w:r>
              <w:rPr>
                <w:rFonts w:ascii="宋体" w:hAnsi="宋体" w:eastAsia="宋体" w:cs="宋体"/>
                <w:spacing w:val="-26"/>
                <w:position w:val="7"/>
              </w:rPr>
              <w:t>，</w:t>
            </w:r>
            <w:r>
              <w:rPr>
                <w:rFonts w:ascii="宋体" w:hAnsi="宋体" w:eastAsia="宋体" w:cs="宋体"/>
                <w:spacing w:val="-105"/>
                <w:position w:val="7"/>
              </w:rPr>
              <w:t xml:space="preserve"> </w:t>
            </w:r>
            <w:r>
              <w:rPr>
                <w:rFonts w:ascii="宋体" w:hAnsi="宋体" w:eastAsia="宋体" w:cs="宋体"/>
                <w:position w:val="7"/>
              </w:rPr>
              <w:t>其中投标报价</w:t>
            </w:r>
            <w:r>
              <w:rPr>
                <w:rFonts w:ascii="Calibri" w:hAnsi="Calibri" w:eastAsia="Calibri" w:cs="Calibri"/>
                <w:position w:val="7"/>
              </w:rPr>
              <w:t>2</w:t>
            </w:r>
            <w:r>
              <w:rPr>
                <w:rFonts w:hint="eastAsia" w:eastAsia="宋体" w:cs="Calibri"/>
                <w:position w:val="7"/>
                <w:lang w:val="en-US" w:eastAsia="zh-CN"/>
              </w:rPr>
              <w:t>5</w:t>
            </w:r>
            <w:r>
              <w:rPr>
                <w:rFonts w:ascii="宋体" w:hAnsi="宋体" w:eastAsia="宋体" w:cs="宋体"/>
                <w:position w:val="7"/>
              </w:rPr>
              <w:t>分</w:t>
            </w:r>
            <w:r>
              <w:rPr>
                <w:rFonts w:hint="eastAsia" w:ascii="宋体" w:hAnsi="宋体" w:eastAsia="宋体" w:cs="宋体"/>
                <w:position w:val="7"/>
                <w:lang w:eastAsia="zh-CN"/>
              </w:rPr>
              <w:t>，信用标</w:t>
            </w:r>
            <w:r>
              <w:rPr>
                <w:rFonts w:hint="eastAsia" w:ascii="宋体" w:hAnsi="宋体" w:eastAsia="宋体" w:cs="宋体"/>
                <w:position w:val="7"/>
                <w:lang w:val="en-US" w:eastAsia="zh-CN"/>
              </w:rPr>
              <w:t>7分</w:t>
            </w:r>
            <w:r>
              <w:rPr>
                <w:rFonts w:ascii="宋体" w:hAnsi="宋体" w:eastAsia="宋体" w:cs="宋体"/>
                <w:spacing w:val="-26"/>
                <w:position w:val="7"/>
              </w:rPr>
              <w:t>）</w:t>
            </w:r>
          </w:p>
          <w:p>
            <w:pPr>
              <w:spacing w:line="220" w:lineRule="auto"/>
              <w:ind w:firstLine="115"/>
              <w:rPr>
                <w:rFonts w:ascii="宋体" w:hAnsi="宋体" w:eastAsia="宋体" w:cs="宋体"/>
              </w:rPr>
            </w:pPr>
            <w:r>
              <w:rPr>
                <w:rFonts w:ascii="宋体" w:hAnsi="宋体" w:eastAsia="宋体" w:cs="宋体"/>
              </w:rPr>
              <w:t>技术标（</w:t>
            </w:r>
            <w:r>
              <w:rPr>
                <w:rFonts w:ascii="Calibri" w:hAnsi="Calibri" w:eastAsia="Calibri" w:cs="Calibri"/>
              </w:rPr>
              <w:t>50</w:t>
            </w:r>
            <w:r>
              <w:rPr>
                <w:rFonts w:ascii="宋体" w:hAnsi="宋体" w:eastAsia="宋体" w:cs="宋体"/>
              </w:rPr>
              <w:t>分</w:t>
            </w:r>
            <w:r>
              <w:rPr>
                <w:rFonts w:ascii="宋体" w:hAnsi="宋体" w:eastAsia="宋体" w:cs="宋体"/>
                <w:spacing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2144" w:type="dxa"/>
            <w:gridSpan w:val="3"/>
            <w:noWrap w:val="0"/>
            <w:vAlign w:val="top"/>
          </w:tcPr>
          <w:p>
            <w:pPr>
              <w:spacing w:before="127" w:line="221" w:lineRule="auto"/>
              <w:ind w:firstLine="763"/>
              <w:rPr>
                <w:rFonts w:ascii="宋体" w:hAnsi="宋体" w:eastAsia="宋体" w:cs="宋体"/>
              </w:rPr>
            </w:pPr>
            <w:r>
              <w:rPr>
                <w:rFonts w:ascii="宋体" w:hAnsi="宋体" w:eastAsia="宋体" w:cs="宋体"/>
                <w:spacing w:val="-2"/>
              </w:rPr>
              <w:t>条款</w:t>
            </w:r>
            <w:r>
              <w:rPr>
                <w:rFonts w:ascii="宋体" w:hAnsi="宋体" w:eastAsia="宋体" w:cs="宋体"/>
                <w:spacing w:val="-1"/>
              </w:rPr>
              <w:t>号</w:t>
            </w:r>
          </w:p>
        </w:tc>
        <w:tc>
          <w:tcPr>
            <w:tcW w:w="2267" w:type="dxa"/>
            <w:noWrap w:val="0"/>
            <w:vAlign w:val="top"/>
          </w:tcPr>
          <w:p>
            <w:pPr>
              <w:spacing w:before="127" w:line="221" w:lineRule="auto"/>
              <w:ind w:firstLine="928"/>
              <w:rPr>
                <w:rFonts w:ascii="宋体" w:hAnsi="宋体" w:eastAsia="宋体" w:cs="宋体"/>
              </w:rPr>
            </w:pPr>
            <w:r>
              <w:rPr>
                <w:rFonts w:ascii="宋体" w:hAnsi="宋体" w:eastAsia="宋体" w:cs="宋体"/>
                <w:spacing w:val="-1"/>
              </w:rPr>
              <w:t>评分</w:t>
            </w:r>
            <w:r>
              <w:rPr>
                <w:rFonts w:ascii="宋体" w:hAnsi="宋体" w:eastAsia="宋体" w:cs="宋体"/>
              </w:rPr>
              <w:t>因素</w:t>
            </w:r>
          </w:p>
        </w:tc>
        <w:tc>
          <w:tcPr>
            <w:tcW w:w="5531" w:type="dxa"/>
            <w:noWrap w:val="0"/>
            <w:vAlign w:val="top"/>
          </w:tcPr>
          <w:p>
            <w:pPr>
              <w:spacing w:before="128" w:line="221" w:lineRule="auto"/>
              <w:ind w:firstLine="2348"/>
              <w:rPr>
                <w:rFonts w:ascii="宋体" w:hAnsi="宋体" w:eastAsia="宋体" w:cs="宋体"/>
              </w:rPr>
            </w:pPr>
            <w:r>
              <w:rPr>
                <w:rFonts w:ascii="宋体" w:hAnsi="宋体" w:eastAsia="宋体" w:cs="宋体"/>
                <w:spacing w:val="-1"/>
              </w:rPr>
              <w:t>评分</w:t>
            </w:r>
            <w:r>
              <w:rPr>
                <w:rFonts w:ascii="宋体" w:hAnsi="宋体" w:eastAsia="宋体" w:cs="宋体"/>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7" w:hRule="atLeast"/>
        </w:trPr>
        <w:tc>
          <w:tcPr>
            <w:tcW w:w="1082" w:type="dxa"/>
            <w:gridSpan w:val="2"/>
            <w:vMerge w:val="restart"/>
            <w:noWrap w:val="0"/>
            <w:vAlign w:val="center"/>
          </w:tcPr>
          <w:p>
            <w:pPr>
              <w:spacing w:line="247" w:lineRule="auto"/>
              <w:jc w:val="center"/>
            </w:pPr>
          </w:p>
          <w:p>
            <w:pPr>
              <w:spacing w:line="247" w:lineRule="auto"/>
              <w:jc w:val="center"/>
            </w:pPr>
          </w:p>
          <w:p>
            <w:pPr>
              <w:spacing w:line="247" w:lineRule="auto"/>
              <w:jc w:val="center"/>
            </w:pPr>
          </w:p>
          <w:p>
            <w:pPr>
              <w:spacing w:line="247" w:lineRule="auto"/>
              <w:jc w:val="center"/>
            </w:pPr>
          </w:p>
          <w:p>
            <w:pPr>
              <w:spacing w:line="247" w:lineRule="auto"/>
              <w:jc w:val="center"/>
            </w:pPr>
          </w:p>
          <w:p>
            <w:pPr>
              <w:spacing w:line="247" w:lineRule="auto"/>
              <w:jc w:val="center"/>
            </w:pPr>
          </w:p>
          <w:p>
            <w:pPr>
              <w:spacing w:line="247" w:lineRule="auto"/>
              <w:jc w:val="center"/>
            </w:pPr>
          </w:p>
          <w:p>
            <w:pPr>
              <w:spacing w:line="247" w:lineRule="auto"/>
              <w:jc w:val="center"/>
            </w:pPr>
          </w:p>
          <w:p>
            <w:pPr>
              <w:spacing w:line="247" w:lineRule="auto"/>
              <w:jc w:val="center"/>
            </w:pPr>
          </w:p>
          <w:p>
            <w:pPr>
              <w:spacing w:line="247"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line="248" w:lineRule="auto"/>
              <w:jc w:val="center"/>
            </w:pPr>
          </w:p>
          <w:p>
            <w:pPr>
              <w:spacing w:before="69" w:line="288" w:lineRule="auto"/>
              <w:ind w:right="85"/>
              <w:jc w:val="center"/>
              <w:rPr>
                <w:rFonts w:ascii="宋体" w:hAnsi="宋体" w:eastAsia="宋体" w:cs="宋体"/>
              </w:rPr>
            </w:pPr>
            <w:r>
              <w:rPr>
                <w:rFonts w:ascii="宋体" w:hAnsi="宋体" w:eastAsia="宋体" w:cs="宋体"/>
                <w:spacing w:val="-3"/>
              </w:rPr>
              <w:t>商务标</w:t>
            </w:r>
            <w:r>
              <w:rPr>
                <w:rFonts w:ascii="宋体" w:hAnsi="宋体" w:eastAsia="宋体" w:cs="宋体"/>
              </w:rPr>
              <w:t>（</w:t>
            </w:r>
            <w:r>
              <w:rPr>
                <w:rFonts w:ascii="Calibri" w:hAnsi="Calibri" w:eastAsia="Calibri" w:cs="Calibri"/>
              </w:rPr>
              <w:t>50</w:t>
            </w:r>
            <w:r>
              <w:rPr>
                <w:rFonts w:ascii="宋体" w:hAnsi="宋体" w:eastAsia="宋体" w:cs="宋体"/>
              </w:rPr>
              <w:t>分</w:t>
            </w:r>
            <w:r>
              <w:rPr>
                <w:rFonts w:ascii="宋体" w:hAnsi="宋体" w:eastAsia="宋体" w:cs="宋体"/>
                <w:spacing w:val="-21"/>
              </w:rPr>
              <w:t>）</w:t>
            </w:r>
          </w:p>
        </w:tc>
        <w:tc>
          <w:tcPr>
            <w:tcW w:w="1062" w:type="dxa"/>
            <w:noWrap w:val="0"/>
            <w:vAlign w:val="top"/>
          </w:tcPr>
          <w:p>
            <w:pPr>
              <w:spacing w:line="247"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before="68" w:line="418" w:lineRule="auto"/>
              <w:ind w:left="118" w:right="72" w:hanging="1"/>
              <w:rPr>
                <w:rFonts w:ascii="宋体" w:hAnsi="宋体" w:eastAsia="宋体" w:cs="宋体"/>
              </w:rPr>
            </w:pPr>
            <w:r>
              <w:rPr>
                <w:rFonts w:ascii="宋体" w:hAnsi="宋体" w:eastAsia="宋体" w:cs="宋体"/>
                <w:spacing w:val="-3"/>
              </w:rPr>
              <w:t>投</w:t>
            </w:r>
            <w:r>
              <w:rPr>
                <w:rFonts w:ascii="宋体" w:hAnsi="宋体" w:eastAsia="宋体" w:cs="宋体"/>
                <w:spacing w:val="-2"/>
              </w:rPr>
              <w:t>标报价</w:t>
            </w:r>
            <w:r>
              <w:rPr>
                <w:rFonts w:ascii="宋体" w:hAnsi="宋体" w:eastAsia="宋体" w:cs="宋体"/>
              </w:rPr>
              <w:t>（</w:t>
            </w:r>
            <w:r>
              <w:rPr>
                <w:rFonts w:ascii="宋体" w:hAnsi="宋体" w:eastAsia="宋体" w:cs="宋体"/>
                <w:highlight w:val="none"/>
              </w:rPr>
              <w:t>2</w:t>
            </w:r>
            <w:r>
              <w:rPr>
                <w:rFonts w:hint="eastAsia" w:ascii="宋体" w:hAnsi="宋体" w:eastAsia="宋体" w:cs="宋体"/>
                <w:highlight w:val="none"/>
                <w:lang w:val="en-US" w:eastAsia="zh-CN"/>
              </w:rPr>
              <w:t>7</w:t>
            </w:r>
            <w:r>
              <w:rPr>
                <w:rFonts w:ascii="宋体" w:hAnsi="宋体" w:eastAsia="宋体" w:cs="宋体"/>
              </w:rPr>
              <w:t>分</w:t>
            </w:r>
            <w:r>
              <w:rPr>
                <w:rFonts w:ascii="宋体" w:hAnsi="宋体" w:eastAsia="宋体" w:cs="宋体"/>
                <w:spacing w:val="-79"/>
              </w:rPr>
              <w:t>）</w:t>
            </w:r>
          </w:p>
        </w:tc>
        <w:tc>
          <w:tcPr>
            <w:tcW w:w="2267" w:type="dxa"/>
            <w:noWrap w:val="0"/>
            <w:vAlign w:val="center"/>
          </w:tcPr>
          <w:p>
            <w:pPr>
              <w:spacing w:before="68" w:line="219" w:lineRule="auto"/>
              <w:jc w:val="center"/>
              <w:rPr>
                <w:rFonts w:ascii="宋体" w:hAnsi="宋体" w:eastAsia="宋体" w:cs="宋体"/>
              </w:rPr>
            </w:pPr>
            <w:r>
              <w:rPr>
                <w:rFonts w:ascii="宋体" w:hAnsi="宋体" w:eastAsia="宋体" w:cs="宋体"/>
              </w:rPr>
              <w:t>报价得分（</w:t>
            </w:r>
            <w:r>
              <w:rPr>
                <w:rFonts w:hint="eastAsia" w:ascii="宋体" w:hAnsi="宋体" w:eastAsia="宋体" w:cs="宋体"/>
                <w:highlight w:val="none"/>
                <w:lang w:val="en-US" w:eastAsia="zh-CN"/>
              </w:rPr>
              <w:t>27</w:t>
            </w:r>
            <w:r>
              <w:rPr>
                <w:rFonts w:ascii="宋体" w:hAnsi="宋体" w:eastAsia="宋体" w:cs="宋体"/>
              </w:rPr>
              <w:t>分</w:t>
            </w:r>
            <w:r>
              <w:rPr>
                <w:rFonts w:ascii="宋体" w:hAnsi="宋体" w:eastAsia="宋体" w:cs="宋体"/>
                <w:spacing w:val="-59"/>
              </w:rPr>
              <w:t>）</w:t>
            </w:r>
          </w:p>
        </w:tc>
        <w:tc>
          <w:tcPr>
            <w:tcW w:w="5531" w:type="dxa"/>
            <w:noWrap w:val="0"/>
            <w:vAlign w:val="top"/>
          </w:tcPr>
          <w:p>
            <w:pPr>
              <w:spacing w:before="53" w:line="274" w:lineRule="auto"/>
              <w:ind w:left="108" w:right="104" w:firstLine="426"/>
              <w:rPr>
                <w:rFonts w:ascii="宋体" w:hAnsi="宋体" w:eastAsia="宋体" w:cs="宋体"/>
              </w:rPr>
            </w:pPr>
            <w:r>
              <w:rPr>
                <w:rFonts w:hint="eastAsia" w:ascii="宋体" w:hAnsi="宋体" w:eastAsia="宋体" w:cs="宋体"/>
              </w:rPr>
              <w:t>本项目按费率报价，</w:t>
            </w:r>
            <w:r>
              <w:rPr>
                <w:rFonts w:ascii="宋体" w:hAnsi="宋体" w:eastAsia="宋体" w:cs="宋体"/>
              </w:rPr>
              <w:t>所报费率的有效区间为</w:t>
            </w:r>
            <w:r>
              <w:rPr>
                <w:rFonts w:ascii="宋体" w:hAnsi="宋体" w:eastAsia="宋体" w:cs="宋体"/>
                <w:b/>
                <w:bCs/>
              </w:rPr>
              <w:t xml:space="preserve"> </w:t>
            </w:r>
            <w:r>
              <w:rPr>
                <w:rFonts w:hint="eastAsia" w:eastAsia="宋体" w:cs="Calibri"/>
                <w:b/>
                <w:bCs/>
                <w:lang w:val="en-US" w:eastAsia="zh-CN"/>
              </w:rPr>
              <w:t>90</w:t>
            </w:r>
            <w:r>
              <w:rPr>
                <w:rFonts w:ascii="Calibri" w:hAnsi="Calibri" w:eastAsia="Calibri" w:cs="Calibri"/>
                <w:b/>
                <w:bCs/>
              </w:rPr>
              <w:t xml:space="preserve">%-95% </w:t>
            </w:r>
            <w:r>
              <w:rPr>
                <w:rFonts w:ascii="宋体" w:hAnsi="宋体" w:eastAsia="宋体" w:cs="宋体"/>
              </w:rPr>
              <w:t>（含两个端点值</w:t>
            </w:r>
            <w:r>
              <w:rPr>
                <w:rFonts w:ascii="宋体" w:hAnsi="宋体" w:eastAsia="宋体" w:cs="宋体"/>
                <w:spacing w:val="-47"/>
              </w:rPr>
              <w:t>）</w:t>
            </w:r>
            <w:r>
              <w:rPr>
                <w:rFonts w:ascii="宋体" w:hAnsi="宋体" w:eastAsia="宋体" w:cs="宋体"/>
                <w:spacing w:val="-105"/>
              </w:rPr>
              <w:t xml:space="preserve"> </w:t>
            </w:r>
            <w:r>
              <w:rPr>
                <w:rFonts w:ascii="宋体" w:hAnsi="宋体" w:eastAsia="宋体" w:cs="宋体"/>
                <w:spacing w:val="-47"/>
              </w:rPr>
              <w:t>，</w:t>
            </w:r>
            <w:r>
              <w:rPr>
                <w:rFonts w:ascii="宋体" w:hAnsi="宋体" w:eastAsia="宋体" w:cs="宋体"/>
                <w:spacing w:val="3"/>
              </w:rPr>
              <w:t>费率在给定范围内</w:t>
            </w:r>
            <w:r>
              <w:rPr>
                <w:rFonts w:ascii="宋体" w:hAnsi="宋体" w:eastAsia="宋体" w:cs="宋体"/>
                <w:spacing w:val="2"/>
              </w:rPr>
              <w:t>的为有效报价</w:t>
            </w:r>
            <w:r>
              <w:rPr>
                <w:rFonts w:ascii="宋体" w:hAnsi="宋体" w:eastAsia="宋体" w:cs="宋体"/>
                <w:spacing w:val="3"/>
              </w:rPr>
              <w:t>。</w:t>
            </w:r>
            <w:r>
              <w:rPr>
                <w:rFonts w:ascii="宋体" w:hAnsi="宋体" w:eastAsia="宋体" w:cs="宋体"/>
                <w:spacing w:val="2"/>
              </w:rPr>
              <w:t>无效报价则报价得分作</w:t>
            </w:r>
            <w:r>
              <w:rPr>
                <w:rFonts w:ascii="宋体" w:hAnsi="宋体" w:eastAsia="宋体" w:cs="宋体"/>
                <w:spacing w:val="3"/>
              </w:rPr>
              <w:t>零分处理。所有符合</w:t>
            </w:r>
            <w:r>
              <w:rPr>
                <w:rFonts w:ascii="宋体" w:hAnsi="宋体" w:eastAsia="宋体" w:cs="宋体"/>
                <w:spacing w:val="2"/>
              </w:rPr>
              <w:t>评标基准价计算基数要求的有效投标</w:t>
            </w:r>
            <w:r>
              <w:rPr>
                <w:rFonts w:ascii="宋体" w:hAnsi="宋体" w:eastAsia="宋体" w:cs="宋体"/>
                <w:spacing w:val="3"/>
              </w:rPr>
              <w:t>报价去掉</w:t>
            </w:r>
            <w:r>
              <w:rPr>
                <w:rFonts w:ascii="宋体" w:hAnsi="宋体" w:eastAsia="宋体" w:cs="宋体"/>
                <w:spacing w:val="2"/>
              </w:rPr>
              <w:t>n</w:t>
            </w:r>
            <w:r>
              <w:rPr>
                <w:rFonts w:ascii="宋体" w:hAnsi="宋体" w:eastAsia="宋体" w:cs="宋体"/>
                <w:spacing w:val="3"/>
              </w:rPr>
              <w:t>个最高值</w:t>
            </w:r>
            <w:r>
              <w:rPr>
                <w:rFonts w:ascii="宋体" w:hAnsi="宋体" w:eastAsia="宋体" w:cs="宋体"/>
                <w:spacing w:val="2"/>
              </w:rPr>
              <w:t>和</w:t>
            </w:r>
            <w:r>
              <w:rPr>
                <w:rFonts w:ascii="宋体" w:hAnsi="宋体" w:eastAsia="宋体" w:cs="宋体"/>
                <w:spacing w:val="1"/>
              </w:rPr>
              <w:t>n</w:t>
            </w:r>
            <w:r>
              <w:rPr>
                <w:rFonts w:ascii="宋体" w:hAnsi="宋体" w:eastAsia="宋体" w:cs="宋体"/>
                <w:spacing w:val="2"/>
              </w:rPr>
              <w:t>个最低值后剩余投标人算术平</w:t>
            </w:r>
            <w:r>
              <w:rPr>
                <w:rFonts w:ascii="宋体" w:hAnsi="宋体" w:eastAsia="宋体" w:cs="宋体"/>
              </w:rPr>
              <w:t>均值即为评标基准价</w:t>
            </w:r>
            <w:r>
              <w:rPr>
                <w:rFonts w:ascii="宋体" w:hAnsi="宋体" w:eastAsia="宋体" w:cs="宋体"/>
                <w:spacing w:val="-13"/>
              </w:rPr>
              <w:t>。</w:t>
            </w:r>
            <w:r>
              <w:rPr>
                <w:rFonts w:ascii="宋体" w:hAnsi="宋体" w:eastAsia="宋体" w:cs="宋体"/>
              </w:rPr>
              <w:t>M≤5</w:t>
            </w:r>
            <w:r>
              <w:rPr>
                <w:rFonts w:ascii="宋体" w:hAnsi="宋体" w:eastAsia="宋体" w:cs="宋体"/>
                <w:spacing w:val="-13"/>
              </w:rPr>
              <w:t>、</w:t>
            </w:r>
            <w:r>
              <w:rPr>
                <w:rFonts w:ascii="宋体" w:hAnsi="宋体" w:eastAsia="宋体" w:cs="宋体"/>
              </w:rPr>
              <w:t>n=0</w:t>
            </w:r>
            <w:r>
              <w:rPr>
                <w:rFonts w:ascii="宋体" w:hAnsi="宋体" w:eastAsia="宋体" w:cs="宋体"/>
                <w:spacing w:val="-13"/>
              </w:rPr>
              <w:t>；</w:t>
            </w:r>
            <w:r>
              <w:rPr>
                <w:rFonts w:ascii="宋体" w:hAnsi="宋体" w:eastAsia="宋体" w:cs="宋体"/>
              </w:rPr>
              <w:t>5＜M≤10</w:t>
            </w:r>
            <w:r>
              <w:rPr>
                <w:rFonts w:ascii="宋体" w:hAnsi="宋体" w:eastAsia="宋体" w:cs="宋体"/>
                <w:spacing w:val="-13"/>
              </w:rPr>
              <w:t>、</w:t>
            </w:r>
            <w:r>
              <w:rPr>
                <w:rFonts w:ascii="宋体" w:hAnsi="宋体" w:eastAsia="宋体" w:cs="宋体"/>
              </w:rPr>
              <w:t>n=1</w:t>
            </w:r>
            <w:r>
              <w:rPr>
                <w:rFonts w:ascii="宋体" w:hAnsi="宋体" w:eastAsia="宋体" w:cs="宋体"/>
                <w:spacing w:val="-13"/>
              </w:rPr>
              <w:t>；</w:t>
            </w:r>
            <w:r>
              <w:rPr>
                <w:rFonts w:ascii="宋体" w:hAnsi="宋体" w:eastAsia="宋体" w:cs="宋体"/>
              </w:rPr>
              <w:t>10＜M≤20</w:t>
            </w:r>
            <w:r>
              <w:rPr>
                <w:rFonts w:ascii="宋体" w:hAnsi="宋体" w:eastAsia="宋体" w:cs="宋体"/>
                <w:spacing w:val="-1"/>
              </w:rPr>
              <w:t>、</w:t>
            </w:r>
            <w:r>
              <w:rPr>
                <w:rFonts w:ascii="宋体" w:hAnsi="宋体" w:eastAsia="宋体" w:cs="宋体"/>
              </w:rPr>
              <w:t>n=2</w:t>
            </w:r>
            <w:r>
              <w:rPr>
                <w:rFonts w:ascii="宋体" w:hAnsi="宋体" w:eastAsia="宋体" w:cs="宋体"/>
                <w:spacing w:val="-1"/>
              </w:rPr>
              <w:t>；</w:t>
            </w:r>
            <w:r>
              <w:rPr>
                <w:rFonts w:ascii="宋体" w:hAnsi="宋体" w:eastAsia="宋体" w:cs="宋体"/>
              </w:rPr>
              <w:t>M＞20</w:t>
            </w:r>
            <w:r>
              <w:rPr>
                <w:rFonts w:ascii="宋体" w:hAnsi="宋体" w:eastAsia="宋体" w:cs="宋体"/>
                <w:spacing w:val="-1"/>
              </w:rPr>
              <w:t>、</w:t>
            </w:r>
            <w:r>
              <w:rPr>
                <w:rFonts w:ascii="宋体" w:hAnsi="宋体" w:eastAsia="宋体" w:cs="宋体"/>
              </w:rPr>
              <w:t>n=3</w:t>
            </w:r>
            <w:r>
              <w:rPr>
                <w:rFonts w:ascii="宋体" w:hAnsi="宋体" w:eastAsia="宋体" w:cs="宋体"/>
                <w:spacing w:val="-1"/>
              </w:rPr>
              <w:t>。</w:t>
            </w:r>
            <w:r>
              <w:rPr>
                <w:rFonts w:ascii="宋体" w:hAnsi="宋体" w:eastAsia="宋体" w:cs="宋体"/>
              </w:rPr>
              <w:t>（M为有效投标报价的数量</w:t>
            </w:r>
            <w:r>
              <w:rPr>
                <w:rFonts w:ascii="宋体" w:hAnsi="宋体" w:eastAsia="宋体" w:cs="宋体"/>
                <w:spacing w:val="-1"/>
              </w:rPr>
              <w:t>）</w:t>
            </w:r>
          </w:p>
          <w:p>
            <w:pPr>
              <w:spacing w:before="2" w:line="274" w:lineRule="auto"/>
              <w:ind w:left="114" w:right="101" w:firstLine="421"/>
              <w:rPr>
                <w:rFonts w:ascii="宋体" w:hAnsi="宋体" w:eastAsia="宋体" w:cs="宋体"/>
              </w:rPr>
            </w:pPr>
            <w:r>
              <w:rPr>
                <w:rFonts w:ascii="宋体" w:hAnsi="宋体" w:eastAsia="宋体" w:cs="宋体"/>
                <w:spacing w:val="3"/>
              </w:rPr>
              <w:t>有效投</w:t>
            </w:r>
            <w:r>
              <w:rPr>
                <w:rFonts w:ascii="宋体" w:hAnsi="宋体" w:eastAsia="宋体" w:cs="宋体"/>
                <w:spacing w:val="2"/>
              </w:rPr>
              <w:t>标报价等于评标基准价的</w:t>
            </w:r>
            <w:r>
              <w:rPr>
                <w:rFonts w:ascii="宋体" w:hAnsi="宋体" w:eastAsia="宋体" w:cs="宋体"/>
                <w:spacing w:val="3"/>
              </w:rPr>
              <w:t>，</w:t>
            </w:r>
            <w:r>
              <w:rPr>
                <w:rFonts w:ascii="宋体" w:hAnsi="宋体" w:eastAsia="宋体" w:cs="宋体"/>
                <w:spacing w:val="2"/>
              </w:rPr>
              <w:t xml:space="preserve">得满分 </w:t>
            </w:r>
            <w:r>
              <w:rPr>
                <w:rFonts w:hint="eastAsia" w:ascii="宋体" w:hAnsi="宋体" w:eastAsia="宋体" w:cs="宋体"/>
                <w:spacing w:val="1"/>
                <w:highlight w:val="yellow"/>
                <w:lang w:val="en-US" w:eastAsia="zh-CN"/>
              </w:rPr>
              <w:t>27</w:t>
            </w:r>
            <w:r>
              <w:rPr>
                <w:rFonts w:ascii="宋体" w:hAnsi="宋体" w:eastAsia="宋体" w:cs="宋体"/>
                <w:spacing w:val="2"/>
              </w:rPr>
              <w:t xml:space="preserve"> 分</w:t>
            </w:r>
            <w:r>
              <w:rPr>
                <w:rFonts w:ascii="宋体" w:hAnsi="宋体" w:eastAsia="宋体" w:cs="宋体"/>
                <w:spacing w:val="3"/>
              </w:rPr>
              <w:t>；</w:t>
            </w:r>
            <w:r>
              <w:rPr>
                <w:rFonts w:ascii="宋体" w:hAnsi="宋体" w:eastAsia="宋体" w:cs="宋体"/>
                <w:spacing w:val="2"/>
              </w:rPr>
              <w:t>有</w:t>
            </w:r>
            <w:r>
              <w:rPr>
                <w:rFonts w:ascii="宋体" w:hAnsi="宋体" w:eastAsia="宋体" w:cs="宋体"/>
              </w:rPr>
              <w:t xml:space="preserve"> </w:t>
            </w:r>
            <w:r>
              <w:rPr>
                <w:rFonts w:ascii="宋体" w:hAnsi="宋体" w:eastAsia="宋体" w:cs="宋体"/>
                <w:spacing w:val="3"/>
              </w:rPr>
              <w:t>效投标报价每</w:t>
            </w:r>
            <w:r>
              <w:rPr>
                <w:rFonts w:ascii="宋体" w:hAnsi="宋体" w:eastAsia="宋体" w:cs="宋体"/>
                <w:spacing w:val="2"/>
              </w:rPr>
              <w:t>高于评标基准价一个百分点</w:t>
            </w:r>
            <w:r>
              <w:rPr>
                <w:rFonts w:ascii="宋体" w:hAnsi="宋体" w:eastAsia="宋体" w:cs="宋体"/>
                <w:b/>
                <w:bCs/>
                <w:spacing w:val="2"/>
              </w:rPr>
              <w:t>扣</w:t>
            </w:r>
            <w:r>
              <w:rPr>
                <w:rFonts w:ascii="宋体" w:hAnsi="宋体" w:eastAsia="宋体" w:cs="宋体"/>
                <w:b/>
                <w:bCs/>
                <w:spacing w:val="2"/>
                <w:highlight w:val="yellow"/>
              </w:rPr>
              <w:t xml:space="preserve"> </w:t>
            </w:r>
            <w:r>
              <w:rPr>
                <w:rFonts w:ascii="宋体" w:hAnsi="宋体" w:eastAsia="宋体" w:cs="宋体"/>
                <w:b/>
                <w:bCs/>
                <w:spacing w:val="1"/>
                <w:highlight w:val="yellow"/>
              </w:rPr>
              <w:t>0.5</w:t>
            </w:r>
            <w:r>
              <w:rPr>
                <w:rFonts w:ascii="宋体" w:hAnsi="宋体" w:eastAsia="宋体" w:cs="宋体"/>
                <w:b/>
                <w:bCs/>
                <w:spacing w:val="2"/>
                <w:highlight w:val="yellow"/>
              </w:rPr>
              <w:t xml:space="preserve"> </w:t>
            </w:r>
            <w:r>
              <w:rPr>
                <w:rFonts w:ascii="宋体" w:hAnsi="宋体" w:eastAsia="宋体" w:cs="宋体"/>
                <w:b/>
                <w:bCs/>
                <w:spacing w:val="2"/>
              </w:rPr>
              <w:t>分</w:t>
            </w:r>
            <w:r>
              <w:rPr>
                <w:rFonts w:ascii="宋体" w:hAnsi="宋体" w:eastAsia="宋体" w:cs="宋体"/>
                <w:spacing w:val="3"/>
              </w:rPr>
              <w:t>；</w:t>
            </w:r>
            <w:r>
              <w:rPr>
                <w:rFonts w:ascii="宋体" w:hAnsi="宋体" w:eastAsia="宋体" w:cs="宋体"/>
                <w:spacing w:val="2"/>
              </w:rPr>
              <w:t>有</w:t>
            </w:r>
            <w:r>
              <w:rPr>
                <w:rFonts w:ascii="宋体" w:hAnsi="宋体" w:eastAsia="宋体" w:cs="宋体"/>
              </w:rPr>
              <w:t xml:space="preserve"> 效投标报价每低于评标基准价一个百分点</w:t>
            </w:r>
            <w:r>
              <w:rPr>
                <w:rFonts w:ascii="宋体" w:hAnsi="宋体" w:eastAsia="宋体" w:cs="宋体"/>
                <w:b/>
                <w:bCs/>
              </w:rPr>
              <w:t>扣</w:t>
            </w:r>
            <w:r>
              <w:rPr>
                <w:rFonts w:ascii="宋体" w:hAnsi="宋体" w:eastAsia="宋体" w:cs="宋体"/>
                <w:b/>
                <w:bCs/>
                <w:spacing w:val="-1"/>
                <w:highlight w:val="yellow"/>
              </w:rPr>
              <w:t xml:space="preserve"> </w:t>
            </w:r>
            <w:r>
              <w:rPr>
                <w:rFonts w:ascii="宋体" w:hAnsi="宋体" w:eastAsia="宋体" w:cs="宋体"/>
                <w:b/>
                <w:bCs/>
                <w:highlight w:val="yellow"/>
              </w:rPr>
              <w:t>0.</w:t>
            </w:r>
            <w:r>
              <w:rPr>
                <w:rFonts w:hint="eastAsia" w:ascii="宋体" w:hAnsi="宋体" w:eastAsia="宋体" w:cs="宋体"/>
                <w:b/>
                <w:bCs/>
                <w:highlight w:val="yellow"/>
                <w:lang w:val="en-US" w:eastAsia="zh-CN"/>
              </w:rPr>
              <w:t>3</w:t>
            </w:r>
            <w:r>
              <w:rPr>
                <w:rFonts w:ascii="宋体" w:hAnsi="宋体" w:eastAsia="宋体" w:cs="宋体"/>
                <w:b/>
                <w:bCs/>
                <w:highlight w:val="yellow"/>
              </w:rPr>
              <w:t xml:space="preserve"> </w:t>
            </w:r>
            <w:r>
              <w:rPr>
                <w:rFonts w:ascii="宋体" w:hAnsi="宋体" w:eastAsia="宋体" w:cs="宋体"/>
                <w:b/>
                <w:bCs/>
              </w:rPr>
              <w:t>分</w:t>
            </w:r>
            <w:r>
              <w:rPr>
                <w:rFonts w:ascii="宋体" w:hAnsi="宋体" w:eastAsia="宋体" w:cs="宋体"/>
                <w:spacing w:val="-46"/>
              </w:rPr>
              <w:t>；</w:t>
            </w:r>
            <w:r>
              <w:rPr>
                <w:rFonts w:ascii="宋体" w:hAnsi="宋体" w:eastAsia="宋体" w:cs="宋体"/>
              </w:rPr>
              <w:t xml:space="preserve">扣完 </w:t>
            </w:r>
            <w:r>
              <w:rPr>
                <w:rFonts w:ascii="宋体" w:hAnsi="宋体" w:eastAsia="宋体" w:cs="宋体"/>
                <w:spacing w:val="2"/>
              </w:rPr>
              <w:t>为止</w:t>
            </w:r>
            <w:r>
              <w:rPr>
                <w:rFonts w:ascii="宋体" w:hAnsi="宋体" w:eastAsia="宋体" w:cs="宋体"/>
                <w:spacing w:val="3"/>
              </w:rPr>
              <w:t>。</w:t>
            </w:r>
            <w:r>
              <w:rPr>
                <w:rFonts w:ascii="宋体" w:hAnsi="宋体" w:eastAsia="宋体" w:cs="宋体"/>
                <w:spacing w:val="2"/>
              </w:rPr>
              <w:t>有效投标报价与评标基准价差值不足一个百分点的</w:t>
            </w:r>
            <w:r>
              <w:rPr>
                <w:rFonts w:ascii="宋体" w:hAnsi="宋体" w:eastAsia="宋体" w:cs="宋体"/>
              </w:rPr>
              <w:t xml:space="preserve"> </w:t>
            </w:r>
            <w:r>
              <w:rPr>
                <w:rFonts w:ascii="宋体" w:hAnsi="宋体" w:eastAsia="宋体" w:cs="宋体"/>
                <w:spacing w:val="2"/>
              </w:rPr>
              <w:t>按上述计算方式进行同向计算</w:t>
            </w:r>
            <w:r>
              <w:rPr>
                <w:rFonts w:ascii="宋体" w:hAnsi="宋体" w:eastAsia="宋体" w:cs="宋体"/>
                <w:spacing w:val="3"/>
              </w:rPr>
              <w:t>，</w:t>
            </w:r>
            <w:r>
              <w:rPr>
                <w:rFonts w:ascii="宋体" w:hAnsi="宋体" w:eastAsia="宋体" w:cs="宋体"/>
                <w:spacing w:val="2"/>
              </w:rPr>
              <w:t>得分按四舍五入，保留两</w:t>
            </w:r>
            <w:r>
              <w:rPr>
                <w:rFonts w:ascii="宋体" w:hAnsi="宋体" w:eastAsia="宋体" w:cs="宋体"/>
              </w:rPr>
              <w:t xml:space="preserve"> 位小数计算</w:t>
            </w:r>
            <w:r>
              <w:rPr>
                <w:rFonts w:ascii="宋体" w:hAnsi="宋体" w:eastAsia="宋体" w:cs="宋体"/>
                <w:spacing w:val="-5"/>
              </w:rPr>
              <w:t>。</w:t>
            </w:r>
          </w:p>
          <w:p>
            <w:pPr>
              <w:spacing w:line="219" w:lineRule="auto"/>
              <w:ind w:firstLine="536"/>
              <w:rPr>
                <w:rFonts w:ascii="宋体" w:hAnsi="宋体" w:eastAsia="宋体" w:cs="宋体"/>
              </w:rPr>
            </w:pPr>
            <w:r>
              <w:rPr>
                <w:rFonts w:ascii="宋体" w:hAnsi="宋体" w:eastAsia="宋体" w:cs="宋体"/>
              </w:rPr>
              <w:t>有效投标报价得分计算方法如下</w:t>
            </w:r>
            <w:r>
              <w:rPr>
                <w:rFonts w:ascii="宋体" w:hAnsi="宋体" w:eastAsia="宋体" w:cs="宋体"/>
                <w:spacing w:val="-4"/>
              </w:rPr>
              <w:t>：</w:t>
            </w:r>
          </w:p>
          <w:p>
            <w:pPr>
              <w:spacing w:before="63" w:line="274" w:lineRule="auto"/>
              <w:ind w:left="115" w:right="104" w:firstLine="420"/>
              <w:rPr>
                <w:rFonts w:ascii="宋体" w:hAnsi="宋体" w:eastAsia="宋体" w:cs="宋体"/>
              </w:rPr>
            </w:pPr>
            <w:r>
              <w:rPr>
                <w:rFonts w:ascii="宋体" w:hAnsi="宋体" w:eastAsia="宋体" w:cs="宋体"/>
              </w:rPr>
              <w:t>有效投标报价高于评标基准价的</w:t>
            </w:r>
            <w:r>
              <w:rPr>
                <w:rFonts w:ascii="宋体" w:hAnsi="宋体" w:eastAsia="宋体" w:cs="宋体"/>
                <w:spacing w:val="-50"/>
              </w:rPr>
              <w:t>，</w:t>
            </w:r>
            <w:r>
              <w:rPr>
                <w:rFonts w:ascii="宋体" w:hAnsi="宋体" w:eastAsia="宋体" w:cs="宋体"/>
              </w:rPr>
              <w:t>得分=</w:t>
            </w:r>
            <w:r>
              <w:rPr>
                <w:rFonts w:hint="eastAsia" w:ascii="宋体" w:hAnsi="宋体" w:eastAsia="宋体" w:cs="宋体"/>
                <w:spacing w:val="1"/>
                <w:highlight w:val="yellow"/>
                <w:lang w:val="en-US" w:eastAsia="zh-CN"/>
              </w:rPr>
              <w:t>27</w:t>
            </w:r>
            <w:r>
              <w:rPr>
                <w:rFonts w:ascii="宋体" w:hAnsi="宋体" w:eastAsia="宋体" w:cs="宋体"/>
              </w:rPr>
              <w:t>-[（有效投 标报价-评标基准价</w:t>
            </w:r>
            <w:r>
              <w:rPr>
                <w:rFonts w:ascii="宋体" w:hAnsi="宋体" w:eastAsia="宋体" w:cs="宋体"/>
                <w:spacing w:val="-3"/>
              </w:rPr>
              <w:t>）</w:t>
            </w:r>
            <w:r>
              <w:rPr>
                <w:rFonts w:ascii="宋体" w:hAnsi="宋体" w:eastAsia="宋体" w:cs="宋体"/>
              </w:rPr>
              <w:t>/评标基准价]×100×0.</w:t>
            </w:r>
            <w:r>
              <w:rPr>
                <w:rFonts w:hint="eastAsia" w:ascii="宋体" w:hAnsi="宋体" w:eastAsia="宋体" w:cs="宋体"/>
                <w:lang w:val="en-US" w:eastAsia="zh-CN"/>
              </w:rPr>
              <w:t>5</w:t>
            </w:r>
            <w:r>
              <w:rPr>
                <w:rFonts w:ascii="宋体" w:hAnsi="宋体" w:eastAsia="宋体" w:cs="宋体"/>
                <w:spacing w:val="-2"/>
              </w:rPr>
              <w:t>。</w:t>
            </w:r>
          </w:p>
          <w:p>
            <w:pPr>
              <w:spacing w:before="1" w:line="246" w:lineRule="auto"/>
              <w:ind w:left="116" w:right="104" w:firstLine="419"/>
              <w:rPr>
                <w:rFonts w:ascii="宋体" w:hAnsi="宋体" w:eastAsia="宋体" w:cs="宋体"/>
              </w:rPr>
            </w:pPr>
            <w:r>
              <w:rPr>
                <w:rFonts w:ascii="宋体" w:hAnsi="宋体" w:eastAsia="宋体" w:cs="宋体"/>
              </w:rPr>
              <w:t>有效投标报价低于评标基准价的</w:t>
            </w:r>
            <w:r>
              <w:rPr>
                <w:rFonts w:ascii="宋体" w:hAnsi="宋体" w:eastAsia="宋体" w:cs="宋体"/>
                <w:spacing w:val="-50"/>
              </w:rPr>
              <w:t>，</w:t>
            </w:r>
            <w:r>
              <w:rPr>
                <w:rFonts w:ascii="宋体" w:hAnsi="宋体" w:eastAsia="宋体" w:cs="宋体"/>
              </w:rPr>
              <w:t>得分=</w:t>
            </w:r>
            <w:r>
              <w:rPr>
                <w:rFonts w:hint="eastAsia" w:ascii="宋体" w:hAnsi="宋体" w:eastAsia="宋体" w:cs="宋体"/>
                <w:spacing w:val="1"/>
                <w:highlight w:val="yellow"/>
                <w:lang w:val="en-US" w:eastAsia="zh-CN"/>
              </w:rPr>
              <w:t>27</w:t>
            </w:r>
            <w:r>
              <w:rPr>
                <w:rFonts w:ascii="宋体" w:hAnsi="宋体" w:eastAsia="宋体" w:cs="宋体"/>
              </w:rPr>
              <w:t>-[（评标基 准价-有效投标报价</w:t>
            </w:r>
            <w:r>
              <w:rPr>
                <w:rFonts w:ascii="宋体" w:hAnsi="宋体" w:eastAsia="宋体" w:cs="宋体"/>
                <w:spacing w:val="-3"/>
              </w:rPr>
              <w:t>）</w:t>
            </w:r>
            <w:r>
              <w:rPr>
                <w:rFonts w:ascii="宋体" w:hAnsi="宋体" w:eastAsia="宋体" w:cs="宋体"/>
              </w:rPr>
              <w:t>/评标基准价]×100×0.</w:t>
            </w:r>
            <w:r>
              <w:rPr>
                <w:rFonts w:hint="eastAsia" w:ascii="宋体" w:hAnsi="宋体" w:eastAsia="宋体" w:cs="宋体"/>
                <w:lang w:val="en-US" w:eastAsia="zh-CN"/>
              </w:rPr>
              <w:t>3</w:t>
            </w:r>
            <w:r>
              <w:rPr>
                <w:rFonts w:ascii="宋体" w:hAnsi="宋体" w:eastAsia="宋体" w:cs="宋体"/>
                <w:spacing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1082" w:type="dxa"/>
            <w:gridSpan w:val="2"/>
            <w:vMerge w:val="continue"/>
            <w:noWrap w:val="0"/>
            <w:vAlign w:val="top"/>
          </w:tcPr>
          <w:p/>
        </w:tc>
        <w:tc>
          <w:tcPr>
            <w:tcW w:w="1062" w:type="dxa"/>
            <w:vMerge w:val="restart"/>
            <w:noWrap w:val="0"/>
            <w:vAlign w:val="center"/>
          </w:tcPr>
          <w:p>
            <w:pPr>
              <w:spacing w:before="68" w:line="418" w:lineRule="auto"/>
              <w:ind w:left="117" w:right="67"/>
              <w:rPr>
                <w:rFonts w:ascii="宋体" w:hAnsi="宋体" w:eastAsia="宋体" w:cs="宋体"/>
              </w:rPr>
            </w:pPr>
            <w:r>
              <w:rPr>
                <w:rFonts w:ascii="宋体" w:hAnsi="宋体" w:eastAsia="宋体" w:cs="宋体"/>
                <w:spacing w:val="-3"/>
              </w:rPr>
              <w:t>企业</w:t>
            </w:r>
            <w:r>
              <w:rPr>
                <w:rFonts w:ascii="宋体" w:hAnsi="宋体" w:eastAsia="宋体" w:cs="宋体"/>
                <w:spacing w:val="-2"/>
              </w:rPr>
              <w:t>实力</w:t>
            </w:r>
            <w:r>
              <w:rPr>
                <w:rFonts w:ascii="宋体" w:hAnsi="宋体" w:eastAsia="宋体" w:cs="宋体"/>
              </w:rPr>
              <w:t>（</w:t>
            </w:r>
            <w:r>
              <w:rPr>
                <w:rFonts w:ascii="Calibri" w:hAnsi="Calibri" w:eastAsia="Calibri" w:cs="Calibri"/>
                <w:highlight w:val="none"/>
              </w:rPr>
              <w:t>2</w:t>
            </w:r>
            <w:r>
              <w:rPr>
                <w:rFonts w:hint="eastAsia" w:eastAsia="宋体" w:cs="Calibri"/>
                <w:highlight w:val="none"/>
                <w:lang w:val="en-US" w:eastAsia="zh-CN"/>
              </w:rPr>
              <w:t>3</w:t>
            </w:r>
            <w:r>
              <w:rPr>
                <w:rFonts w:ascii="宋体" w:hAnsi="宋体" w:eastAsia="宋体" w:cs="宋体"/>
              </w:rPr>
              <w:t>分</w:t>
            </w:r>
            <w:r>
              <w:rPr>
                <w:rFonts w:ascii="宋体" w:hAnsi="宋体" w:eastAsia="宋体" w:cs="宋体"/>
                <w:spacing w:val="-19"/>
              </w:rPr>
              <w:t>）</w:t>
            </w:r>
          </w:p>
        </w:tc>
        <w:tc>
          <w:tcPr>
            <w:tcW w:w="2267" w:type="dxa"/>
            <w:noWrap w:val="0"/>
            <w:vAlign w:val="center"/>
          </w:tcPr>
          <w:p>
            <w:pPr>
              <w:spacing w:before="69" w:line="221" w:lineRule="auto"/>
              <w:ind w:firstLine="275"/>
              <w:rPr>
                <w:rFonts w:ascii="宋体" w:hAnsi="宋体" w:eastAsia="宋体" w:cs="宋体"/>
              </w:rPr>
            </w:pPr>
            <w:r>
              <w:rPr>
                <w:rFonts w:ascii="宋体" w:hAnsi="宋体" w:eastAsia="宋体" w:cs="宋体"/>
              </w:rPr>
              <w:t>企业业绩</w:t>
            </w:r>
            <w:r>
              <w:rPr>
                <w:rFonts w:ascii="宋体" w:hAnsi="宋体" w:eastAsia="宋体" w:cs="宋体"/>
                <w:color w:val="auto"/>
                <w:highlight w:val="none"/>
              </w:rPr>
              <w:t>（</w:t>
            </w:r>
            <w:r>
              <w:rPr>
                <w:rFonts w:hint="eastAsia" w:eastAsia="宋体" w:cs="Calibri"/>
                <w:color w:val="auto"/>
                <w:highlight w:val="none"/>
                <w:lang w:val="en-US" w:eastAsia="zh-CN"/>
              </w:rPr>
              <w:t>8</w:t>
            </w:r>
            <w:r>
              <w:rPr>
                <w:rFonts w:ascii="宋体" w:hAnsi="宋体" w:eastAsia="宋体" w:cs="宋体"/>
                <w:color w:val="auto"/>
                <w:highlight w:val="none"/>
              </w:rPr>
              <w:t>分</w:t>
            </w:r>
            <w:r>
              <w:rPr>
                <w:rFonts w:ascii="宋体" w:hAnsi="宋体" w:eastAsia="宋体" w:cs="宋体"/>
                <w:color w:val="auto"/>
                <w:spacing w:val="-5"/>
                <w:highlight w:val="none"/>
              </w:rPr>
              <w:t>）</w:t>
            </w:r>
          </w:p>
        </w:tc>
        <w:tc>
          <w:tcPr>
            <w:tcW w:w="5531" w:type="dxa"/>
            <w:noWrap w:val="0"/>
            <w:vAlign w:val="top"/>
          </w:tcPr>
          <w:p>
            <w:pPr>
              <w:spacing w:line="274" w:lineRule="auto"/>
              <w:ind w:left="117" w:leftChars="0" w:right="101" w:firstLine="523" w:firstLineChars="0"/>
              <w:rPr>
                <w:rFonts w:hint="eastAsia" w:ascii="宋体" w:hAnsi="宋体" w:eastAsia="宋体" w:cs="宋体"/>
                <w:color w:val="auto"/>
                <w:highlight w:val="yellow"/>
              </w:rPr>
            </w:pPr>
            <w:r>
              <w:rPr>
                <w:rFonts w:hint="eastAsia" w:ascii="宋体" w:hAnsi="宋体" w:eastAsia="宋体" w:cs="宋体"/>
                <w:color w:val="auto"/>
              </w:rPr>
              <w:t>1、</w:t>
            </w:r>
            <w:r>
              <w:rPr>
                <w:rFonts w:hint="eastAsia" w:ascii="宋体" w:hAnsi="宋体" w:eastAsia="宋体" w:cs="宋体"/>
                <w:color w:val="auto"/>
                <w:lang w:val="en-US" w:eastAsia="zh-CN"/>
              </w:rPr>
              <w:t>2017年1月1日至今</w:t>
            </w:r>
            <w:r>
              <w:rPr>
                <w:rFonts w:hint="eastAsia" w:ascii="宋体" w:hAnsi="宋体" w:eastAsia="宋体" w:cs="宋体"/>
                <w:color w:val="auto"/>
              </w:rPr>
              <w:t>，投标人（联合体任一方）每</w:t>
            </w:r>
            <w:r>
              <w:rPr>
                <w:rFonts w:hint="eastAsia" w:ascii="宋体" w:hAnsi="宋体" w:eastAsia="宋体" w:cs="宋体"/>
                <w:b/>
                <w:bCs/>
                <w:color w:val="0000FF"/>
                <w:lang w:val="en-US" w:eastAsia="zh-CN"/>
              </w:rPr>
              <w:t>承接</w:t>
            </w:r>
            <w:r>
              <w:rPr>
                <w:rFonts w:hint="eastAsia" w:ascii="宋体" w:hAnsi="宋体" w:eastAsia="宋体" w:cs="宋体"/>
                <w:color w:val="auto"/>
              </w:rPr>
              <w:t>1个合同额</w:t>
            </w:r>
            <w:r>
              <w:rPr>
                <w:rFonts w:hint="eastAsia" w:ascii="宋体" w:hAnsi="宋体" w:eastAsia="宋体" w:cs="宋体"/>
                <w:b/>
                <w:bCs/>
                <w:color w:val="auto"/>
                <w:lang w:val="en-US" w:eastAsia="zh-CN"/>
              </w:rPr>
              <w:t>3</w:t>
            </w:r>
            <w:r>
              <w:rPr>
                <w:rFonts w:hint="eastAsia" w:ascii="宋体" w:hAnsi="宋体" w:eastAsia="宋体" w:cs="宋体"/>
                <w:b/>
                <w:bCs/>
                <w:color w:val="auto"/>
              </w:rPr>
              <w:t>亿元</w:t>
            </w:r>
            <w:r>
              <w:rPr>
                <w:rFonts w:hint="eastAsia" w:ascii="宋体" w:hAnsi="宋体" w:eastAsia="宋体" w:cs="宋体"/>
                <w:color w:val="auto"/>
              </w:rPr>
              <w:t>以上的</w:t>
            </w:r>
            <w:r>
              <w:rPr>
                <w:rFonts w:hint="eastAsia" w:ascii="宋体" w:hAnsi="宋体" w:eastAsia="宋体" w:cs="宋体"/>
                <w:b/>
                <w:bCs/>
                <w:color w:val="auto"/>
              </w:rPr>
              <w:t>水环境治理</w:t>
            </w:r>
            <w:r>
              <w:rPr>
                <w:rFonts w:hint="eastAsia" w:ascii="宋体" w:hAnsi="宋体" w:eastAsia="宋体" w:cs="宋体"/>
                <w:b/>
                <w:bCs/>
                <w:color w:val="auto"/>
                <w:lang w:eastAsia="zh-CN"/>
              </w:rPr>
              <w:t>领域工</w:t>
            </w:r>
            <w:r>
              <w:rPr>
                <w:rFonts w:hint="eastAsia" w:ascii="宋体" w:hAnsi="宋体" w:eastAsia="宋体" w:cs="宋体"/>
                <w:b/>
                <w:bCs/>
                <w:color w:val="auto"/>
              </w:rPr>
              <w:t>程</w:t>
            </w:r>
            <w:r>
              <w:rPr>
                <w:rFonts w:hint="eastAsia" w:ascii="宋体" w:hAnsi="宋体" w:eastAsia="宋体" w:cs="宋体"/>
                <w:color w:val="auto"/>
              </w:rPr>
              <w:t>总承包（EPC或设计施工总承包</w:t>
            </w:r>
            <w:r>
              <w:rPr>
                <w:rFonts w:hint="eastAsia" w:ascii="宋体" w:hAnsi="宋体" w:eastAsia="宋体" w:cs="宋体"/>
                <w:b w:val="0"/>
                <w:bCs w:val="0"/>
                <w:color w:val="auto"/>
                <w:lang w:eastAsia="zh-CN"/>
              </w:rPr>
              <w:t>或</w:t>
            </w:r>
            <w:r>
              <w:rPr>
                <w:rFonts w:hint="eastAsia" w:ascii="宋体" w:hAnsi="宋体" w:eastAsia="宋体" w:cs="宋体"/>
                <w:b w:val="0"/>
                <w:bCs w:val="0"/>
                <w:color w:val="auto"/>
                <w:lang w:val="en-US" w:eastAsia="zh-CN"/>
              </w:rPr>
              <w:t>PPP项目</w:t>
            </w:r>
            <w:r>
              <w:rPr>
                <w:rFonts w:hint="eastAsia" w:ascii="宋体" w:hAnsi="宋体" w:eastAsia="宋体" w:cs="宋体"/>
                <w:color w:val="auto"/>
              </w:rPr>
              <w:t>）项目</w:t>
            </w:r>
            <w:r>
              <w:rPr>
                <w:rFonts w:hint="eastAsia" w:ascii="宋体" w:hAnsi="宋体" w:eastAsia="宋体" w:cs="宋体"/>
                <w:color w:val="auto"/>
                <w:lang w:eastAsia="zh-CN"/>
              </w:rPr>
              <w:t>，</w:t>
            </w:r>
            <w:r>
              <w:rPr>
                <w:rFonts w:hint="eastAsia" w:ascii="宋体" w:hAnsi="宋体" w:eastAsia="宋体" w:cs="宋体"/>
                <w:b/>
                <w:bCs/>
                <w:color w:val="0000FF"/>
                <w:lang w:val="en-US" w:eastAsia="zh-CN"/>
              </w:rPr>
              <w:t>提供完（竣）工验收鉴定书（或竣工验收备案表）复印件得2分，</w:t>
            </w:r>
            <w:r>
              <w:rPr>
                <w:rFonts w:hint="eastAsia" w:ascii="宋体" w:hAnsi="宋体" w:eastAsia="宋体" w:cs="宋体"/>
                <w:color w:val="auto"/>
                <w:lang w:eastAsia="zh-CN"/>
              </w:rPr>
              <w:t>最多得</w:t>
            </w:r>
            <w:r>
              <w:rPr>
                <w:rFonts w:hint="eastAsia" w:ascii="宋体" w:hAnsi="宋体" w:eastAsia="宋体" w:cs="宋体"/>
                <w:color w:val="auto"/>
                <w:lang w:val="en-US" w:eastAsia="zh-CN"/>
              </w:rPr>
              <w:t>6分</w:t>
            </w:r>
            <w:r>
              <w:rPr>
                <w:rFonts w:hint="eastAsia" w:ascii="宋体" w:hAnsi="宋体" w:eastAsia="宋体" w:cs="宋体"/>
                <w:b/>
                <w:bCs/>
                <w:color w:val="0000FF"/>
                <w:lang w:val="en-US" w:eastAsia="zh-CN"/>
              </w:rPr>
              <w:t>；提供合同复印件得1分</w:t>
            </w:r>
            <w:r>
              <w:rPr>
                <w:rFonts w:hint="eastAsia" w:ascii="宋体" w:hAnsi="宋体" w:eastAsia="宋体" w:cs="宋体"/>
                <w:color w:val="auto"/>
                <w:lang w:val="en-US" w:eastAsia="zh-CN"/>
              </w:rPr>
              <w:t>，</w:t>
            </w:r>
            <w:r>
              <w:rPr>
                <w:rFonts w:hint="eastAsia" w:ascii="宋体" w:hAnsi="宋体" w:eastAsia="宋体" w:cs="宋体"/>
                <w:color w:val="auto"/>
                <w:lang w:eastAsia="zh-CN"/>
              </w:rPr>
              <w:t>最多得</w:t>
            </w:r>
            <w:r>
              <w:rPr>
                <w:rFonts w:hint="eastAsia" w:ascii="宋体" w:hAnsi="宋体" w:eastAsia="宋体" w:cs="宋体"/>
                <w:color w:val="auto"/>
                <w:lang w:val="en-US" w:eastAsia="zh-CN"/>
              </w:rPr>
              <w:t>6分</w:t>
            </w:r>
            <w:r>
              <w:rPr>
                <w:rFonts w:hint="eastAsia" w:ascii="宋体" w:hAnsi="宋体" w:eastAsia="宋体" w:cs="宋体"/>
                <w:color w:val="auto"/>
                <w:lang w:eastAsia="zh-CN"/>
              </w:rPr>
              <w:t>。</w:t>
            </w:r>
            <w:r>
              <w:rPr>
                <w:rFonts w:hint="eastAsia" w:ascii="宋体" w:hAnsi="宋体" w:eastAsia="宋体" w:cs="宋体"/>
                <w:color w:val="auto"/>
                <w:spacing w:val="1"/>
                <w:highlight w:val="yellow"/>
              </w:rPr>
              <w:t>本项最</w:t>
            </w:r>
            <w:r>
              <w:rPr>
                <w:rFonts w:hint="eastAsia" w:ascii="宋体" w:hAnsi="宋体" w:eastAsia="宋体" w:cs="宋体"/>
                <w:color w:val="auto"/>
                <w:spacing w:val="1"/>
                <w:highlight w:val="yellow"/>
                <w:lang w:val="en-US" w:eastAsia="zh-CN"/>
              </w:rPr>
              <w:t>多得6分</w:t>
            </w:r>
            <w:r>
              <w:rPr>
                <w:rFonts w:hint="eastAsia" w:ascii="宋体" w:hAnsi="宋体" w:eastAsia="宋体" w:cs="宋体"/>
                <w:color w:val="auto"/>
                <w:highlight w:val="yellow"/>
              </w:rPr>
              <w:t>。</w:t>
            </w:r>
          </w:p>
          <w:p>
            <w:pPr>
              <w:spacing w:before="1" w:line="274" w:lineRule="auto"/>
              <w:ind w:left="114" w:right="67" w:rightChars="0" w:firstLine="1"/>
              <w:rPr>
                <w:rFonts w:hint="default"/>
                <w:b/>
                <w:bCs/>
                <w:color w:val="auto"/>
                <w:lang w:val="en-US" w:eastAsia="zh-CN"/>
              </w:rPr>
            </w:pPr>
            <w:r>
              <w:rPr>
                <w:rFonts w:hint="eastAsia" w:ascii="宋体" w:hAnsi="宋体" w:eastAsia="宋体" w:cs="宋体"/>
                <w:lang w:eastAsia="zh-CN"/>
              </w:rPr>
              <w:t>注</w:t>
            </w:r>
            <w:r>
              <w:rPr>
                <w:rFonts w:hint="eastAsia" w:ascii="宋体" w:hAnsi="宋体" w:eastAsia="宋体" w:cs="宋体"/>
                <w:lang w:val="en-US" w:eastAsia="zh-CN"/>
              </w:rPr>
              <w:t>1：以上</w:t>
            </w:r>
            <w:r>
              <w:rPr>
                <w:rFonts w:hint="eastAsia" w:ascii="宋体" w:hAnsi="宋体" w:eastAsia="宋体" w:cs="宋体"/>
                <w:color w:val="auto"/>
              </w:rPr>
              <w:t>水环境治理</w:t>
            </w:r>
            <w:r>
              <w:rPr>
                <w:rFonts w:hint="eastAsia" w:ascii="宋体" w:hAnsi="宋体" w:eastAsia="宋体" w:cs="宋体"/>
                <w:color w:val="auto"/>
                <w:lang w:eastAsia="zh-CN"/>
              </w:rPr>
              <w:t>领域</w:t>
            </w:r>
            <w:r>
              <w:rPr>
                <w:rFonts w:hint="eastAsia" w:ascii="宋体" w:hAnsi="宋体" w:eastAsia="宋体" w:cs="宋体"/>
                <w:color w:val="auto"/>
              </w:rPr>
              <w:t>工程</w:t>
            </w:r>
            <w:r>
              <w:rPr>
                <w:rFonts w:hint="eastAsia" w:ascii="宋体" w:hAnsi="宋体" w:eastAsia="宋体" w:cs="宋体"/>
                <w:color w:val="auto"/>
                <w:lang w:eastAsia="zh-CN"/>
              </w:rPr>
              <w:t>指的是：</w:t>
            </w:r>
            <w:r>
              <w:rPr>
                <w:rFonts w:hint="eastAsia" w:ascii="宋体" w:hAnsi="宋体" w:eastAsia="宋体" w:cs="宋体"/>
                <w:b/>
                <w:bCs/>
                <w:color w:val="auto"/>
                <w:lang w:eastAsia="zh-CN"/>
              </w:rPr>
              <w:t>黑臭水体治理或河湖水体治理或</w:t>
            </w:r>
            <w:r>
              <w:rPr>
                <w:rFonts w:hint="eastAsia" w:ascii="宋体" w:hAnsi="宋体" w:eastAsia="宋体" w:cs="宋体"/>
                <w:b/>
                <w:bCs/>
                <w:color w:val="auto"/>
                <w:lang w:val="en-US" w:eastAsia="zh-CN"/>
              </w:rPr>
              <w:t>排水</w:t>
            </w:r>
            <w:r>
              <w:rPr>
                <w:rFonts w:hint="eastAsia" w:ascii="宋体" w:hAnsi="宋体" w:eastAsia="宋体" w:cs="宋体"/>
                <w:b/>
                <w:bCs/>
                <w:color w:val="auto"/>
                <w:lang w:eastAsia="zh-CN"/>
              </w:rPr>
              <w:t>管网工程。</w:t>
            </w:r>
          </w:p>
          <w:p>
            <w:pPr>
              <w:spacing w:before="1" w:line="274" w:lineRule="auto"/>
              <w:ind w:left="114" w:right="616" w:firstLine="1"/>
              <w:rPr>
                <w:rFonts w:ascii="宋体" w:hAnsi="宋体" w:eastAsia="宋体" w:cs="宋体"/>
              </w:rPr>
            </w:pPr>
            <w:r>
              <w:rPr>
                <w:rFonts w:ascii="宋体" w:hAnsi="宋体" w:eastAsia="宋体" w:cs="宋体"/>
              </w:rPr>
              <w:t>注</w:t>
            </w:r>
            <w:r>
              <w:rPr>
                <w:rFonts w:hint="eastAsia" w:ascii="宋体" w:hAnsi="宋体" w:eastAsia="宋体" w:cs="宋体"/>
                <w:lang w:val="en-US" w:eastAsia="zh-CN"/>
              </w:rPr>
              <w:t>2</w:t>
            </w:r>
            <w:r>
              <w:rPr>
                <w:rFonts w:ascii="宋体" w:hAnsi="宋体" w:eastAsia="宋体" w:cs="宋体"/>
                <w:spacing w:val="-28"/>
              </w:rPr>
              <w:t>：</w:t>
            </w:r>
          </w:p>
          <w:p>
            <w:pPr>
              <w:spacing w:before="10" w:line="269" w:lineRule="auto"/>
              <w:ind w:left="113" w:right="46" w:firstLine="7"/>
              <w:rPr>
                <w:rFonts w:ascii="宋体" w:hAnsi="宋体" w:eastAsia="宋体" w:cs="宋体"/>
              </w:rPr>
            </w:pPr>
            <w:r>
              <w:rPr>
                <w:rFonts w:hint="eastAsia" w:ascii="宋体" w:hAnsi="宋体" w:eastAsia="宋体" w:cs="宋体"/>
                <w:spacing w:val="-21"/>
              </w:rPr>
              <w:t>（</w:t>
            </w:r>
            <w:r>
              <w:rPr>
                <w:rFonts w:hint="eastAsia" w:ascii="宋体" w:hAnsi="宋体" w:eastAsia="宋体" w:cs="宋体"/>
              </w:rPr>
              <w:t>1）</w:t>
            </w:r>
            <w:r>
              <w:rPr>
                <w:rFonts w:hint="eastAsia" w:ascii="宋体" w:hAnsi="宋体" w:eastAsia="宋体" w:cs="宋体"/>
                <w:b/>
                <w:bCs/>
                <w:color w:val="0000FF"/>
                <w:lang w:val="en-US" w:eastAsia="zh-CN"/>
              </w:rPr>
              <w:t>承接</w:t>
            </w:r>
            <w:r>
              <w:rPr>
                <w:rFonts w:hint="eastAsia" w:ascii="宋体" w:hAnsi="宋体" w:eastAsia="宋体" w:cs="宋体"/>
              </w:rPr>
              <w:t>项目以</w:t>
            </w:r>
            <w:r>
              <w:rPr>
                <w:rFonts w:hint="eastAsia" w:ascii="宋体" w:hAnsi="宋体" w:eastAsia="宋体" w:cs="宋体"/>
                <w:b/>
                <w:bCs/>
                <w:color w:val="0000FF"/>
                <w:lang w:val="en-US" w:eastAsia="zh-CN"/>
              </w:rPr>
              <w:t>合同签订或</w:t>
            </w:r>
            <w:r>
              <w:rPr>
                <w:rFonts w:hint="eastAsia" w:ascii="宋体" w:hAnsi="宋体" w:eastAsia="宋体" w:cs="宋体"/>
              </w:rPr>
              <w:t>完（竣）工验收时间为准，需提供中标通知书或合同协议书复印件、完（竣）工验收鉴定书（或竣工验收备案表）复印件</w:t>
            </w:r>
            <w:r>
              <w:rPr>
                <w:rFonts w:hint="eastAsia" w:ascii="宋体" w:hAnsi="宋体" w:eastAsia="宋体" w:cs="宋体"/>
                <w:lang w:eastAsia="zh-CN"/>
              </w:rPr>
              <w:t>（</w:t>
            </w:r>
            <w:r>
              <w:rPr>
                <w:rFonts w:hint="eastAsia" w:ascii="宋体" w:hAnsi="宋体" w:eastAsia="宋体" w:cs="宋体"/>
                <w:b/>
                <w:bCs/>
                <w:color w:val="0000FF"/>
                <w:lang w:val="en-US" w:eastAsia="zh-CN"/>
              </w:rPr>
              <w:t>如有</w:t>
            </w:r>
            <w:r>
              <w:rPr>
                <w:rFonts w:hint="eastAsia" w:ascii="宋体" w:hAnsi="宋体" w:eastAsia="宋体" w:cs="宋体"/>
                <w:lang w:eastAsia="zh-CN"/>
              </w:rPr>
              <w:t>）</w:t>
            </w:r>
            <w:r>
              <w:rPr>
                <w:rFonts w:hint="eastAsia" w:ascii="宋体" w:hAnsi="宋体" w:eastAsia="宋体" w:cs="宋体"/>
              </w:rPr>
              <w:t>。</w:t>
            </w:r>
          </w:p>
          <w:p>
            <w:pPr>
              <w:ind w:left="113" w:firstLine="7"/>
              <w:rPr>
                <w:rFonts w:ascii="宋体" w:hAnsi="宋体" w:eastAsia="宋体" w:cs="宋体"/>
                <w:spacing w:val="3"/>
              </w:rPr>
            </w:pPr>
            <w:r>
              <w:rPr>
                <w:rFonts w:ascii="宋体" w:hAnsi="宋体" w:eastAsia="宋体" w:cs="宋体"/>
                <w:spacing w:val="3"/>
              </w:rPr>
              <w:t>（</w:t>
            </w:r>
            <w:r>
              <w:rPr>
                <w:rFonts w:hint="eastAsia" w:ascii="宋体" w:hAnsi="宋体" w:eastAsia="宋体" w:cs="宋体"/>
                <w:spacing w:val="3"/>
                <w:lang w:val="en-US" w:eastAsia="zh-CN"/>
              </w:rPr>
              <w:t>2</w:t>
            </w:r>
            <w:r>
              <w:rPr>
                <w:rFonts w:ascii="宋体" w:hAnsi="宋体" w:eastAsia="宋体" w:cs="宋体"/>
                <w:spacing w:val="3"/>
              </w:rPr>
              <w:t>）投标人业绩须是中华人民共和国境内(不含港澳台地区)的项目，否则不予以认可；</w:t>
            </w:r>
          </w:p>
          <w:p>
            <w:pPr>
              <w:pStyle w:val="2"/>
              <w:rPr>
                <w:rFonts w:hint="eastAsia"/>
              </w:rPr>
            </w:pPr>
            <w:r>
              <w:rPr>
                <w:rFonts w:ascii="宋体" w:hAnsi="宋体" w:eastAsia="宋体" w:cs="宋体"/>
                <w:spacing w:val="3"/>
              </w:rPr>
              <w:t>（</w:t>
            </w:r>
            <w:r>
              <w:rPr>
                <w:rFonts w:hint="eastAsia" w:ascii="宋体" w:hAnsi="宋体" w:eastAsia="宋体" w:cs="宋体"/>
                <w:spacing w:val="3"/>
                <w:lang w:val="en-US" w:eastAsia="zh-CN"/>
              </w:rPr>
              <w:t>3</w:t>
            </w:r>
            <w:r>
              <w:rPr>
                <w:rFonts w:ascii="宋体" w:hAnsi="宋体" w:eastAsia="宋体" w:cs="宋体"/>
                <w:spacing w:val="3"/>
              </w:rPr>
              <w:t>）若投标人提供的业绩材料无法体现评审要素的，可另行提供业绩合同发包人出具的证明材料复印件（或扫描件）作为佐证材料。</w:t>
            </w:r>
          </w:p>
          <w:p>
            <w:pPr>
              <w:numPr>
                <w:ilvl w:val="0"/>
                <w:numId w:val="1"/>
              </w:numPr>
              <w:spacing w:line="240" w:lineRule="auto"/>
              <w:ind w:left="0" w:leftChars="0" w:right="0" w:rightChars="0" w:firstLine="638" w:firstLineChars="304"/>
              <w:rPr>
                <w:rFonts w:hint="eastAsia" w:hAnsi="宋体" w:eastAsia="宋体" w:cs="宋体"/>
                <w:color w:val="auto"/>
                <w:lang w:val="en-US" w:eastAsia="zh-CN"/>
              </w:rPr>
            </w:pPr>
            <w:r>
              <w:rPr>
                <w:rFonts w:hint="eastAsia" w:hAnsi="宋体" w:eastAsia="宋体" w:cs="宋体"/>
                <w:color w:val="auto"/>
                <w:lang w:val="en-US" w:eastAsia="zh-CN"/>
              </w:rPr>
              <w:t>运维业绩：</w:t>
            </w:r>
            <w:r>
              <w:rPr>
                <w:rFonts w:hint="eastAsia" w:ascii="宋体" w:hAnsi="宋体" w:eastAsia="宋体" w:cs="宋体"/>
                <w:color w:val="auto"/>
                <w:lang w:val="en-US" w:eastAsia="zh-CN"/>
              </w:rPr>
              <w:t>2017年1月1日至今</w:t>
            </w:r>
            <w:r>
              <w:rPr>
                <w:rFonts w:hint="eastAsia" w:ascii="宋体" w:hAnsi="宋体" w:eastAsia="宋体" w:cs="宋体"/>
                <w:color w:val="auto"/>
              </w:rPr>
              <w:t>，投标人（联合体任一方）每完成1个</w:t>
            </w:r>
            <w:r>
              <w:rPr>
                <w:rFonts w:hint="eastAsia" w:hAnsi="宋体" w:eastAsia="宋体" w:cs="宋体"/>
                <w:color w:val="auto"/>
                <w:lang w:val="en-US" w:eastAsia="zh-CN"/>
              </w:rPr>
              <w:t>合同额</w:t>
            </w:r>
            <w:r>
              <w:rPr>
                <w:rFonts w:hint="eastAsia" w:hAnsi="宋体" w:eastAsia="宋体" w:cs="宋体"/>
                <w:b/>
                <w:bCs/>
                <w:color w:val="auto"/>
                <w:lang w:val="en-US" w:eastAsia="zh-CN"/>
              </w:rPr>
              <w:t>3亿元</w:t>
            </w:r>
            <w:r>
              <w:rPr>
                <w:rFonts w:hint="eastAsia" w:hAnsi="宋体" w:eastAsia="宋体" w:cs="宋体"/>
                <w:color w:val="auto"/>
                <w:lang w:val="en-US" w:eastAsia="zh-CN"/>
              </w:rPr>
              <w:t>以上的</w:t>
            </w:r>
            <w:r>
              <w:rPr>
                <w:rFonts w:hint="eastAsia" w:hAnsi="宋体" w:eastAsia="宋体" w:cs="宋体"/>
                <w:b/>
                <w:bCs/>
                <w:color w:val="auto"/>
                <w:lang w:val="en-US" w:eastAsia="zh-CN"/>
              </w:rPr>
              <w:t>EPC+O水环境治理领域</w:t>
            </w:r>
            <w:r>
              <w:rPr>
                <w:rFonts w:hint="eastAsia" w:hAnsi="宋体" w:eastAsia="宋体" w:cs="宋体"/>
                <w:color w:val="auto"/>
                <w:lang w:val="en-US" w:eastAsia="zh-CN"/>
              </w:rPr>
              <w:t>项目</w:t>
            </w:r>
            <w:r>
              <w:rPr>
                <w:rFonts w:hint="eastAsia" w:ascii="宋体" w:hAnsi="宋体" w:eastAsia="宋体" w:cs="宋体"/>
                <w:b/>
                <w:bCs/>
                <w:color w:val="0000FF"/>
                <w:lang w:val="en-US" w:eastAsia="zh-CN"/>
              </w:rPr>
              <w:t>或PPP项目（含水环境运维服务）</w:t>
            </w:r>
            <w:r>
              <w:rPr>
                <w:rFonts w:hint="eastAsia" w:hAnsi="宋体" w:eastAsia="宋体" w:cs="宋体"/>
                <w:color w:val="auto"/>
                <w:lang w:val="en-US" w:eastAsia="zh-CN"/>
              </w:rPr>
              <w:t>的，得2分；投标人（联合体任一方）每完成1个运维费用金额</w:t>
            </w:r>
            <w:r>
              <w:rPr>
                <w:rFonts w:hint="eastAsia" w:hAnsi="宋体" w:eastAsia="宋体" w:cs="宋体"/>
                <w:b/>
                <w:bCs/>
                <w:color w:val="auto"/>
                <w:lang w:val="en-US" w:eastAsia="zh-CN"/>
              </w:rPr>
              <w:t>3000万元</w:t>
            </w:r>
            <w:r>
              <w:rPr>
                <w:rFonts w:hint="eastAsia" w:hAnsi="宋体" w:eastAsia="宋体" w:cs="宋体"/>
                <w:color w:val="auto"/>
                <w:lang w:val="en-US" w:eastAsia="zh-CN"/>
              </w:rPr>
              <w:t>以上的水环境治理领域项目的，得2分。</w:t>
            </w:r>
            <w:r>
              <w:rPr>
                <w:rFonts w:hint="eastAsia" w:ascii="宋体" w:hAnsi="宋体" w:eastAsia="宋体" w:cs="宋体"/>
                <w:color w:val="auto"/>
                <w:spacing w:val="1"/>
                <w:highlight w:val="yellow"/>
                <w:lang w:val="en-US" w:eastAsia="zh-CN"/>
              </w:rPr>
              <w:t>本项最多得2分</w:t>
            </w:r>
            <w:r>
              <w:rPr>
                <w:rFonts w:hint="eastAsia" w:hAnsi="宋体" w:eastAsia="宋体" w:cs="宋体"/>
                <w:color w:val="auto"/>
                <w:highlight w:val="yellow"/>
                <w:lang w:val="en-US" w:eastAsia="zh-CN"/>
              </w:rPr>
              <w:t>。</w:t>
            </w:r>
          </w:p>
          <w:p>
            <w:pPr>
              <w:spacing w:before="1" w:line="274" w:lineRule="auto"/>
              <w:ind w:left="114" w:right="67" w:rightChars="0" w:firstLine="1"/>
              <w:rPr>
                <w:rFonts w:hint="default"/>
                <w:b/>
                <w:bCs/>
                <w:color w:val="auto"/>
                <w:lang w:val="en-US" w:eastAsia="zh-CN"/>
              </w:rPr>
            </w:pPr>
            <w:r>
              <w:rPr>
                <w:rFonts w:hint="eastAsia" w:ascii="宋体" w:hAnsi="宋体" w:eastAsia="宋体" w:cs="宋体"/>
                <w:lang w:eastAsia="zh-CN"/>
              </w:rPr>
              <w:t>注</w:t>
            </w:r>
            <w:r>
              <w:rPr>
                <w:rFonts w:hint="eastAsia" w:ascii="宋体" w:hAnsi="宋体" w:eastAsia="宋体" w:cs="宋体"/>
                <w:lang w:val="en-US" w:eastAsia="zh-CN"/>
              </w:rPr>
              <w:t>1：以上</w:t>
            </w:r>
            <w:r>
              <w:rPr>
                <w:rFonts w:hint="eastAsia" w:ascii="宋体" w:hAnsi="宋体" w:eastAsia="宋体" w:cs="宋体"/>
                <w:color w:val="auto"/>
              </w:rPr>
              <w:t>水环境治理</w:t>
            </w:r>
            <w:r>
              <w:rPr>
                <w:rFonts w:hint="eastAsia" w:ascii="宋体" w:hAnsi="宋体" w:eastAsia="宋体" w:cs="宋体"/>
                <w:color w:val="auto"/>
                <w:lang w:eastAsia="zh-CN"/>
              </w:rPr>
              <w:t>领域</w:t>
            </w:r>
            <w:r>
              <w:rPr>
                <w:rFonts w:hint="eastAsia" w:ascii="宋体" w:hAnsi="宋体" w:eastAsia="宋体" w:cs="宋体"/>
                <w:color w:val="auto"/>
              </w:rPr>
              <w:t>工程</w:t>
            </w:r>
            <w:r>
              <w:rPr>
                <w:rFonts w:hint="eastAsia" w:ascii="宋体" w:hAnsi="宋体" w:eastAsia="宋体" w:cs="宋体"/>
                <w:color w:val="auto"/>
                <w:lang w:eastAsia="zh-CN"/>
              </w:rPr>
              <w:t>指的是：</w:t>
            </w:r>
            <w:r>
              <w:rPr>
                <w:rFonts w:hint="eastAsia" w:ascii="宋体" w:hAnsi="宋体" w:eastAsia="宋体" w:cs="宋体"/>
                <w:b/>
                <w:bCs/>
                <w:color w:val="auto"/>
                <w:lang w:eastAsia="zh-CN"/>
              </w:rPr>
              <w:t>黑臭水体治理或河湖水体治理或</w:t>
            </w:r>
            <w:r>
              <w:rPr>
                <w:rFonts w:hint="eastAsia" w:ascii="宋体" w:hAnsi="宋体" w:eastAsia="宋体" w:cs="宋体"/>
                <w:b/>
                <w:bCs/>
                <w:color w:val="auto"/>
                <w:lang w:val="en-US" w:eastAsia="zh-CN"/>
              </w:rPr>
              <w:t>排水</w:t>
            </w:r>
            <w:r>
              <w:rPr>
                <w:rFonts w:hint="eastAsia" w:ascii="宋体" w:hAnsi="宋体" w:eastAsia="宋体" w:cs="宋体"/>
                <w:b/>
                <w:bCs/>
                <w:color w:val="auto"/>
                <w:lang w:eastAsia="zh-CN"/>
              </w:rPr>
              <w:t>管网工程。</w:t>
            </w:r>
          </w:p>
          <w:p>
            <w:pPr>
              <w:spacing w:before="1" w:line="274" w:lineRule="auto"/>
              <w:ind w:left="114" w:right="616" w:firstLine="1"/>
              <w:rPr>
                <w:rFonts w:ascii="宋体" w:hAnsi="宋体" w:eastAsia="宋体" w:cs="宋体"/>
              </w:rPr>
            </w:pPr>
            <w:r>
              <w:rPr>
                <w:rFonts w:ascii="宋体" w:hAnsi="宋体" w:eastAsia="宋体" w:cs="宋体"/>
              </w:rPr>
              <w:t>注</w:t>
            </w:r>
            <w:r>
              <w:rPr>
                <w:rFonts w:hint="eastAsia" w:ascii="宋体" w:hAnsi="宋体" w:eastAsia="宋体" w:cs="宋体"/>
                <w:lang w:val="en-US" w:eastAsia="zh-CN"/>
              </w:rPr>
              <w:t>2</w:t>
            </w:r>
            <w:r>
              <w:rPr>
                <w:rFonts w:ascii="宋体" w:hAnsi="宋体" w:eastAsia="宋体" w:cs="宋体"/>
                <w:spacing w:val="-28"/>
              </w:rPr>
              <w:t>：</w:t>
            </w:r>
          </w:p>
          <w:p>
            <w:pPr>
              <w:spacing w:before="10" w:line="269" w:lineRule="auto"/>
              <w:ind w:left="113" w:right="46" w:firstLine="7"/>
              <w:rPr>
                <w:rFonts w:ascii="宋体" w:hAnsi="宋体" w:eastAsia="宋体" w:cs="宋体"/>
              </w:rPr>
            </w:pPr>
            <w:r>
              <w:rPr>
                <w:rFonts w:hint="eastAsia" w:ascii="宋体" w:hAnsi="宋体" w:eastAsia="宋体" w:cs="宋体"/>
                <w:spacing w:val="-21"/>
              </w:rPr>
              <w:t>（</w:t>
            </w:r>
            <w:r>
              <w:rPr>
                <w:rFonts w:hint="eastAsia" w:ascii="宋体" w:hAnsi="宋体" w:eastAsia="宋体" w:cs="宋体"/>
              </w:rPr>
              <w:t>1）</w:t>
            </w:r>
            <w:r>
              <w:rPr>
                <w:rFonts w:hint="eastAsia" w:ascii="宋体" w:hAnsi="宋体" w:eastAsia="宋体" w:cs="宋体"/>
                <w:lang w:eastAsia="zh-CN"/>
              </w:rPr>
              <w:t>完成</w:t>
            </w:r>
            <w:r>
              <w:rPr>
                <w:rFonts w:hint="eastAsia" w:ascii="宋体" w:hAnsi="宋体" w:eastAsia="宋体" w:cs="宋体"/>
              </w:rPr>
              <w:t>项目以完（竣）工验收时间为准，需提供中标通知书或合同协议书复印件、完（竣）工验收鉴定书（或竣工验收备案表）复印件。</w:t>
            </w:r>
          </w:p>
          <w:p>
            <w:pPr>
              <w:ind w:left="113" w:firstLine="7"/>
              <w:rPr>
                <w:rFonts w:ascii="宋体" w:hAnsi="宋体" w:eastAsia="宋体" w:cs="宋体"/>
                <w:spacing w:val="3"/>
              </w:rPr>
            </w:pPr>
            <w:r>
              <w:rPr>
                <w:rFonts w:ascii="宋体" w:hAnsi="宋体" w:eastAsia="宋体" w:cs="宋体"/>
                <w:spacing w:val="3"/>
              </w:rPr>
              <w:t>（</w:t>
            </w:r>
            <w:r>
              <w:rPr>
                <w:rFonts w:hint="eastAsia" w:ascii="宋体" w:hAnsi="宋体" w:eastAsia="宋体" w:cs="宋体"/>
                <w:spacing w:val="3"/>
                <w:lang w:val="en-US" w:eastAsia="zh-CN"/>
              </w:rPr>
              <w:t>2</w:t>
            </w:r>
            <w:r>
              <w:rPr>
                <w:rFonts w:ascii="宋体" w:hAnsi="宋体" w:eastAsia="宋体" w:cs="宋体"/>
                <w:spacing w:val="3"/>
              </w:rPr>
              <w:t>）投标人业绩须是中华人民共和国境内(不含港澳台地区)的项目，否则不予以认可；</w:t>
            </w:r>
          </w:p>
          <w:p>
            <w:pPr>
              <w:ind w:left="113" w:firstLine="7"/>
              <w:rPr>
                <w:rFonts w:ascii="宋体" w:hAnsi="宋体" w:eastAsia="宋体" w:cs="宋体"/>
                <w:spacing w:val="3"/>
              </w:rPr>
            </w:pPr>
            <w:r>
              <w:rPr>
                <w:rFonts w:ascii="宋体" w:hAnsi="宋体" w:eastAsia="宋体" w:cs="宋体"/>
                <w:spacing w:val="3"/>
              </w:rPr>
              <w:t>（</w:t>
            </w:r>
            <w:r>
              <w:rPr>
                <w:rFonts w:hint="eastAsia" w:ascii="宋体" w:hAnsi="宋体" w:eastAsia="宋体" w:cs="宋体"/>
                <w:spacing w:val="3"/>
                <w:lang w:val="en-US" w:eastAsia="zh-CN"/>
              </w:rPr>
              <w:t>3</w:t>
            </w:r>
            <w:r>
              <w:rPr>
                <w:rFonts w:ascii="宋体" w:hAnsi="宋体" w:eastAsia="宋体" w:cs="宋体"/>
                <w:spacing w:val="3"/>
              </w:rPr>
              <w:t>）若投标人提供的业绩材料无法体现评审要素的，可另行提供业绩合同发包人出具的证明材料复印件（或扫描件）作为佐证材料。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0" w:hRule="atLeast"/>
        </w:trPr>
        <w:tc>
          <w:tcPr>
            <w:tcW w:w="1082" w:type="dxa"/>
            <w:gridSpan w:val="2"/>
            <w:vMerge w:val="continue"/>
            <w:noWrap w:val="0"/>
            <w:vAlign w:val="top"/>
          </w:tcPr>
          <w:p/>
        </w:tc>
        <w:tc>
          <w:tcPr>
            <w:tcW w:w="1062" w:type="dxa"/>
            <w:vMerge w:val="continue"/>
            <w:noWrap w:val="0"/>
            <w:vAlign w:val="top"/>
          </w:tcPr>
          <w:p>
            <w:pPr>
              <w:rPr>
                <w:rFonts w:hint="eastAsia" w:eastAsia="宋体"/>
                <w:lang w:eastAsia="zh-CN"/>
              </w:rPr>
            </w:pPr>
          </w:p>
        </w:tc>
        <w:tc>
          <w:tcPr>
            <w:tcW w:w="2267" w:type="dxa"/>
            <w:noWrap w:val="0"/>
            <w:vAlign w:val="center"/>
          </w:tcPr>
          <w:p>
            <w:pPr>
              <w:spacing w:before="68" w:line="220" w:lineRule="auto"/>
              <w:jc w:val="center"/>
              <w:rPr>
                <w:rFonts w:ascii="宋体" w:hAnsi="宋体" w:eastAsia="宋体" w:cs="宋体"/>
                <w:color w:val="auto"/>
              </w:rPr>
            </w:pPr>
            <w:r>
              <w:rPr>
                <w:rFonts w:ascii="宋体" w:hAnsi="宋体" w:eastAsia="宋体" w:cs="宋体"/>
                <w:color w:val="auto"/>
              </w:rPr>
              <w:t>项目管理机构（</w:t>
            </w:r>
            <w:r>
              <w:rPr>
                <w:rFonts w:hint="eastAsia" w:ascii="宋体" w:hAnsi="宋体" w:eastAsia="宋体" w:cs="宋体"/>
                <w:color w:val="auto"/>
                <w:lang w:val="en-US" w:eastAsia="zh-CN"/>
              </w:rPr>
              <w:t>2</w:t>
            </w:r>
            <w:r>
              <w:rPr>
                <w:rFonts w:ascii="宋体" w:hAnsi="宋体" w:eastAsia="宋体" w:cs="宋体"/>
                <w:color w:val="auto"/>
              </w:rPr>
              <w:t>分</w:t>
            </w:r>
            <w:r>
              <w:rPr>
                <w:rFonts w:ascii="宋体" w:hAnsi="宋体" w:eastAsia="宋体" w:cs="宋体"/>
                <w:color w:val="auto"/>
                <w:spacing w:val="-6"/>
              </w:rPr>
              <w:t>）</w:t>
            </w:r>
          </w:p>
        </w:tc>
        <w:tc>
          <w:tcPr>
            <w:tcW w:w="5531" w:type="dxa"/>
            <w:noWrap w:val="0"/>
            <w:vAlign w:val="top"/>
          </w:tcPr>
          <w:p>
            <w:pPr>
              <w:spacing w:before="57" w:line="274" w:lineRule="auto"/>
              <w:ind w:left="115" w:right="102" w:firstLine="435"/>
              <w:rPr>
                <w:rFonts w:ascii="宋体" w:hAnsi="宋体" w:eastAsia="宋体" w:cs="宋体"/>
                <w:color w:val="auto"/>
              </w:rPr>
            </w:pPr>
            <w:r>
              <w:rPr>
                <w:rFonts w:ascii="宋体" w:hAnsi="宋体" w:eastAsia="宋体" w:cs="宋体"/>
                <w:color w:val="auto"/>
              </w:rPr>
              <w:t>1</w:t>
            </w:r>
            <w:r>
              <w:rPr>
                <w:rFonts w:hint="eastAsia" w:ascii="宋体" w:hAnsi="宋体" w:eastAsia="宋体" w:cs="宋体"/>
                <w:color w:val="auto"/>
              </w:rPr>
              <w:t>、</w:t>
            </w:r>
            <w:r>
              <w:rPr>
                <w:rFonts w:ascii="宋体" w:hAnsi="宋体" w:eastAsia="宋体" w:cs="宋体"/>
                <w:color w:val="auto"/>
              </w:rPr>
              <w:t>投标人拟为本项目配备的</w:t>
            </w:r>
            <w:r>
              <w:rPr>
                <w:rFonts w:hint="eastAsia" w:ascii="宋体" w:hAnsi="宋体" w:eastAsia="宋体" w:cs="宋体"/>
                <w:color w:val="auto"/>
              </w:rPr>
              <w:t>施工</w:t>
            </w:r>
            <w:r>
              <w:rPr>
                <w:rFonts w:ascii="宋体" w:hAnsi="宋体" w:eastAsia="宋体" w:cs="宋体"/>
                <w:color w:val="auto"/>
              </w:rPr>
              <w:t>负责人</w:t>
            </w:r>
            <w:r>
              <w:rPr>
                <w:rFonts w:hint="eastAsia" w:ascii="宋体" w:hAnsi="宋体" w:eastAsia="宋体" w:cs="宋体"/>
                <w:color w:val="auto"/>
              </w:rPr>
              <w:t>具有</w:t>
            </w:r>
            <w:r>
              <w:rPr>
                <w:rFonts w:ascii="宋体" w:hAnsi="宋体" w:eastAsia="宋体" w:cs="宋体"/>
                <w:color w:val="auto"/>
              </w:rPr>
              <w:t>高级及以上</w:t>
            </w:r>
            <w:r>
              <w:rPr>
                <w:rFonts w:ascii="宋体" w:hAnsi="宋体" w:eastAsia="宋体" w:cs="宋体"/>
                <w:color w:val="auto"/>
                <w:spacing w:val="-1"/>
              </w:rPr>
              <w:t>职称</w:t>
            </w:r>
            <w:r>
              <w:rPr>
                <w:rFonts w:hint="eastAsia" w:ascii="宋体" w:hAnsi="宋体" w:eastAsia="宋体" w:cs="宋体"/>
                <w:color w:val="auto"/>
                <w:spacing w:val="-1"/>
                <w:lang w:eastAsia="zh-CN"/>
              </w:rPr>
              <w:t>，</w:t>
            </w:r>
            <w:r>
              <w:rPr>
                <w:rFonts w:ascii="宋体" w:hAnsi="宋体" w:eastAsia="宋体" w:cs="宋体"/>
                <w:color w:val="auto"/>
              </w:rPr>
              <w:t>得1分</w:t>
            </w:r>
            <w:r>
              <w:rPr>
                <w:rFonts w:ascii="宋体" w:hAnsi="宋体" w:eastAsia="宋体" w:cs="宋体"/>
                <w:color w:val="auto"/>
                <w:spacing w:val="-106"/>
              </w:rPr>
              <w:t>。</w:t>
            </w:r>
          </w:p>
          <w:p>
            <w:pPr>
              <w:spacing w:line="274" w:lineRule="auto"/>
              <w:ind w:left="115" w:right="104" w:firstLine="422"/>
              <w:rPr>
                <w:rFonts w:hint="default" w:ascii="宋体" w:hAnsi="宋体" w:eastAsia="宋体" w:cs="宋体"/>
                <w:color w:val="auto"/>
                <w:lang w:val="en-US" w:eastAsia="zh-CN"/>
              </w:rPr>
            </w:pPr>
            <w:r>
              <w:rPr>
                <w:rFonts w:hint="eastAsia" w:ascii="宋体" w:hAnsi="宋体" w:eastAsia="宋体" w:cs="宋体"/>
                <w:color w:val="auto"/>
                <w:lang w:val="en-US" w:eastAsia="zh-CN"/>
              </w:rPr>
              <w:t>2、</w:t>
            </w:r>
            <w:r>
              <w:rPr>
                <w:rFonts w:ascii="宋体" w:hAnsi="宋体" w:eastAsia="宋体" w:cs="宋体"/>
                <w:color w:val="auto"/>
              </w:rPr>
              <w:t>投标人拟为本项目配备的</w:t>
            </w:r>
            <w:r>
              <w:rPr>
                <w:rFonts w:hint="eastAsia" w:ascii="宋体" w:hAnsi="宋体" w:eastAsia="宋体" w:cs="宋体"/>
                <w:color w:val="auto"/>
                <w:lang w:eastAsia="zh-CN"/>
              </w:rPr>
              <w:t>设计</w:t>
            </w:r>
            <w:r>
              <w:rPr>
                <w:rFonts w:hint="eastAsia" w:ascii="Times New Roman" w:hAnsi="Times New Roman" w:eastAsia="宋体"/>
                <w:b w:val="0"/>
                <w:bCs w:val="0"/>
                <w:color w:val="auto"/>
                <w:sz w:val="21"/>
                <w:szCs w:val="21"/>
                <w:highlight w:val="none"/>
              </w:rPr>
              <w:t>负责人具有</w:t>
            </w:r>
            <w:r>
              <w:rPr>
                <w:rFonts w:hint="eastAsia" w:ascii="宋体" w:hAnsi="宋体" w:eastAsia="宋体" w:cs="宋体"/>
                <w:color w:val="auto"/>
              </w:rPr>
              <w:t>高级</w:t>
            </w:r>
            <w:r>
              <w:rPr>
                <w:rFonts w:ascii="宋体" w:hAnsi="宋体" w:eastAsia="宋体" w:cs="宋体"/>
                <w:color w:val="auto"/>
              </w:rPr>
              <w:t>及以上</w:t>
            </w:r>
            <w:r>
              <w:rPr>
                <w:rFonts w:hint="eastAsia" w:ascii="宋体" w:hAnsi="宋体" w:eastAsia="宋体" w:cs="宋体"/>
                <w:color w:val="auto"/>
              </w:rPr>
              <w:t>职称</w:t>
            </w:r>
            <w:r>
              <w:rPr>
                <w:rFonts w:hint="eastAsia" w:ascii="宋体" w:hAnsi="宋体" w:eastAsia="宋体" w:cs="宋体"/>
                <w:color w:val="auto"/>
                <w:lang w:eastAsia="zh-CN"/>
              </w:rPr>
              <w:t>，得</w:t>
            </w:r>
            <w:r>
              <w:rPr>
                <w:rFonts w:hint="eastAsia" w:ascii="宋体" w:hAnsi="宋体" w:eastAsia="宋体" w:cs="宋体"/>
                <w:color w:val="auto"/>
                <w:lang w:val="en-US" w:eastAsia="zh-CN"/>
              </w:rPr>
              <w:t>1分。</w:t>
            </w:r>
          </w:p>
          <w:p>
            <w:pPr>
              <w:spacing w:before="1" w:line="256" w:lineRule="auto"/>
              <w:ind w:left="116" w:right="110" w:firstLine="418"/>
              <w:rPr>
                <w:rFonts w:ascii="宋体" w:hAnsi="宋体" w:eastAsia="宋体" w:cs="宋体"/>
                <w:color w:val="auto"/>
              </w:rPr>
            </w:pPr>
            <w:r>
              <w:rPr>
                <w:rFonts w:ascii="宋体" w:hAnsi="宋体" w:eastAsia="宋体" w:cs="宋体"/>
                <w:color w:val="auto"/>
                <w:spacing w:val="3"/>
              </w:rPr>
              <w:t>注：投</w:t>
            </w:r>
            <w:r>
              <w:rPr>
                <w:rFonts w:ascii="宋体" w:hAnsi="宋体" w:eastAsia="宋体" w:cs="宋体"/>
                <w:color w:val="auto"/>
                <w:spacing w:val="2"/>
              </w:rPr>
              <w:t>标文件中须提供</w:t>
            </w:r>
            <w:r>
              <w:rPr>
                <w:rFonts w:hint="eastAsia" w:ascii="宋体" w:hAnsi="宋体" w:eastAsia="宋体" w:cs="宋体"/>
                <w:color w:val="auto"/>
                <w:spacing w:val="2"/>
              </w:rPr>
              <w:t>相关</w:t>
            </w:r>
            <w:r>
              <w:rPr>
                <w:rFonts w:ascii="宋体" w:hAnsi="宋体" w:eastAsia="宋体" w:cs="宋体"/>
                <w:color w:val="auto"/>
                <w:spacing w:val="2"/>
              </w:rPr>
              <w:t>证书</w:t>
            </w:r>
            <w:r>
              <w:rPr>
                <w:rFonts w:ascii="宋体" w:hAnsi="宋体" w:eastAsia="宋体" w:cs="宋体"/>
                <w:color w:val="auto"/>
                <w:spacing w:val="3"/>
              </w:rPr>
              <w:t>，</w:t>
            </w:r>
            <w:r>
              <w:rPr>
                <w:rFonts w:ascii="宋体" w:hAnsi="宋体" w:eastAsia="宋体" w:cs="宋体"/>
                <w:color w:val="auto"/>
                <w:spacing w:val="2"/>
              </w:rPr>
              <w:t>以及自开标之日起</w:t>
            </w:r>
            <w:r>
              <w:rPr>
                <w:rFonts w:ascii="宋体" w:hAnsi="宋体" w:eastAsia="宋体" w:cs="宋体"/>
                <w:color w:val="auto"/>
              </w:rPr>
              <w:t xml:space="preserve"> </w:t>
            </w:r>
            <w:r>
              <w:rPr>
                <w:rFonts w:ascii="宋体" w:hAnsi="宋体" w:eastAsia="宋体" w:cs="宋体"/>
                <w:color w:val="auto"/>
                <w:spacing w:val="2"/>
              </w:rPr>
              <w:t>上推六个月内任意连续三个月的社保缴费证</w:t>
            </w:r>
            <w:r>
              <w:rPr>
                <w:rFonts w:ascii="宋体" w:hAnsi="宋体" w:eastAsia="宋体" w:cs="宋体"/>
                <w:color w:val="auto"/>
                <w:spacing w:val="1"/>
              </w:rPr>
              <w:t>明的扫描件</w:t>
            </w:r>
            <w:r>
              <w:rPr>
                <w:rFonts w:ascii="宋体" w:hAnsi="宋体" w:eastAsia="宋体" w:cs="宋体"/>
                <w:color w:val="auto"/>
                <w:spacing w:val="3"/>
              </w:rPr>
              <w:t>，</w:t>
            </w:r>
            <w:r>
              <w:rPr>
                <w:rFonts w:ascii="宋体" w:hAnsi="宋体" w:eastAsia="宋体" w:cs="宋体"/>
                <w:color w:val="auto"/>
              </w:rPr>
              <w:t xml:space="preserve"> 否则不得分</w:t>
            </w:r>
            <w:r>
              <w:rPr>
                <w:rFonts w:ascii="宋体" w:hAnsi="宋体" w:eastAsia="宋体" w:cs="宋体"/>
                <w:color w:val="auto"/>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082" w:type="dxa"/>
            <w:gridSpan w:val="2"/>
            <w:vMerge w:val="continue"/>
            <w:noWrap w:val="0"/>
            <w:vAlign w:val="top"/>
          </w:tcPr>
          <w:p/>
        </w:tc>
        <w:tc>
          <w:tcPr>
            <w:tcW w:w="1062" w:type="dxa"/>
            <w:vMerge w:val="continue"/>
            <w:noWrap w:val="0"/>
            <w:vAlign w:val="top"/>
          </w:tcPr>
          <w:p/>
        </w:tc>
        <w:tc>
          <w:tcPr>
            <w:tcW w:w="2267" w:type="dxa"/>
            <w:noWrap w:val="0"/>
            <w:vAlign w:val="center"/>
          </w:tcPr>
          <w:p>
            <w:pPr>
              <w:spacing w:before="68" w:line="312" w:lineRule="exact"/>
              <w:jc w:val="center"/>
              <w:rPr>
                <w:rFonts w:ascii="宋体" w:hAnsi="宋体" w:eastAsia="宋体" w:cs="宋体"/>
              </w:rPr>
            </w:pPr>
            <w:r>
              <w:rPr>
                <w:rFonts w:ascii="宋体" w:hAnsi="宋体" w:eastAsia="宋体" w:cs="宋体"/>
                <w:spacing w:val="-3"/>
                <w:position w:val="7"/>
              </w:rPr>
              <w:t>企业</w:t>
            </w:r>
            <w:r>
              <w:rPr>
                <w:rFonts w:ascii="宋体" w:hAnsi="宋体" w:eastAsia="宋体" w:cs="宋体"/>
                <w:spacing w:val="-2"/>
                <w:position w:val="7"/>
              </w:rPr>
              <w:t>获奖</w:t>
            </w:r>
            <w:r>
              <w:rPr>
                <w:rFonts w:ascii="宋体" w:hAnsi="宋体" w:eastAsia="宋体" w:cs="宋体"/>
                <w:spacing w:val="-3"/>
                <w:position w:val="7"/>
              </w:rPr>
              <w:t>（满</w:t>
            </w:r>
            <w:r>
              <w:rPr>
                <w:rFonts w:hint="eastAsia" w:ascii="宋体" w:hAnsi="宋体" w:eastAsia="宋体" w:cs="宋体"/>
                <w:color w:val="auto"/>
                <w:spacing w:val="-3"/>
                <w:position w:val="7"/>
                <w:lang w:val="en-US" w:eastAsia="zh-CN"/>
              </w:rPr>
              <w:t>6</w:t>
            </w:r>
            <w:r>
              <w:rPr>
                <w:rFonts w:ascii="宋体" w:hAnsi="宋体" w:eastAsia="宋体" w:cs="宋体"/>
                <w:spacing w:val="-3"/>
                <w:position w:val="7"/>
              </w:rPr>
              <w:t>分）</w:t>
            </w:r>
          </w:p>
        </w:tc>
        <w:tc>
          <w:tcPr>
            <w:tcW w:w="5531" w:type="dxa"/>
            <w:noWrap w:val="0"/>
            <w:vAlign w:val="top"/>
          </w:tcPr>
          <w:p>
            <w:pPr>
              <w:spacing w:before="52" w:line="274" w:lineRule="auto"/>
              <w:ind w:left="118" w:right="107" w:firstLine="451"/>
              <w:rPr>
                <w:rFonts w:hint="eastAsia" w:ascii="宋体" w:hAnsi="宋体" w:eastAsia="宋体" w:cs="宋体"/>
              </w:rPr>
            </w:pPr>
            <w:r>
              <w:rPr>
                <w:rFonts w:hint="eastAsia" w:ascii="宋体" w:hAnsi="宋体" w:eastAsia="宋体" w:cs="宋体"/>
                <w:spacing w:val="1"/>
              </w:rPr>
              <w:t>1、</w:t>
            </w:r>
            <w:r>
              <w:rPr>
                <w:rFonts w:hint="eastAsia" w:ascii="宋体" w:hAnsi="宋体" w:eastAsia="宋体" w:cs="宋体"/>
                <w:color w:val="FF0000"/>
                <w:sz w:val="21"/>
                <w:szCs w:val="21"/>
                <w:lang w:val="en-US" w:eastAsia="zh-CN"/>
              </w:rPr>
              <w:t>2017年1月1日至今</w:t>
            </w:r>
            <w:r>
              <w:rPr>
                <w:rFonts w:hint="eastAsia" w:ascii="宋体" w:hAnsi="宋体" w:eastAsia="宋体" w:cs="宋体"/>
                <w:spacing w:val="1"/>
              </w:rPr>
              <w:t>，</w:t>
            </w:r>
            <w:r>
              <w:rPr>
                <w:rFonts w:hint="eastAsia" w:ascii="宋体" w:hAnsi="宋体" w:eastAsia="宋体" w:cs="宋体"/>
              </w:rPr>
              <w:t>投标人（联合体任一方）承担的水利</w:t>
            </w:r>
            <w:r>
              <w:rPr>
                <w:rFonts w:hint="eastAsia" w:ascii="宋体" w:hAnsi="宋体" w:eastAsia="宋体" w:cs="宋体"/>
                <w:lang w:val="en-US" w:eastAsia="zh-CN"/>
              </w:rPr>
              <w:t>水电</w:t>
            </w:r>
            <w:r>
              <w:rPr>
                <w:rFonts w:hint="eastAsia" w:ascii="宋体" w:hAnsi="宋体" w:eastAsia="宋体" w:cs="宋体"/>
              </w:rPr>
              <w:t>工程或市政工程项目获得国家级（</w:t>
            </w:r>
            <w:r>
              <w:rPr>
                <w:rFonts w:hint="eastAsia" w:ascii="宋体" w:hAnsi="宋体" w:eastAsia="宋体" w:cs="宋体"/>
                <w:lang w:val="en-US" w:eastAsia="zh-CN"/>
              </w:rPr>
              <w:t>大禹奖、</w:t>
            </w:r>
            <w:r>
              <w:rPr>
                <w:rFonts w:hint="eastAsia" w:ascii="宋体" w:hAnsi="宋体" w:eastAsia="宋体" w:cs="宋体"/>
              </w:rPr>
              <w:t>鲁班奖、詹天佑奖、国家优质工程），每项得</w:t>
            </w:r>
            <w:r>
              <w:rPr>
                <w:rFonts w:ascii="宋体" w:hAnsi="宋体" w:eastAsia="宋体" w:cs="宋体"/>
              </w:rPr>
              <w:t>2</w:t>
            </w:r>
            <w:r>
              <w:rPr>
                <w:rFonts w:hint="eastAsia" w:ascii="宋体" w:hAnsi="宋体" w:eastAsia="宋体" w:cs="宋体"/>
              </w:rPr>
              <w:t>分；获得过省级优质工程奖项（ 如： 黄山杯、钱江杯、白玉兰杯、金匠奖、扬子杯、闽江杯、芙蓉奖、天府杯、世纪杯、杜鹃花奖、长城杯、巴渝杯、楚天杯、长白山杯、龙江杯、安济杯、汾水杯、飞天奖、海河杯、泰山杯、黄果树杯、雪莲杯、草原杯、天山杯、江河源杯、长安杯、西夏杯、中州杯、云南优质工程奖、广西优质工程奖、绿岛杯）的，每项得1分</w:t>
            </w:r>
            <w:r>
              <w:rPr>
                <w:rFonts w:hint="eastAsia" w:ascii="宋体" w:hAnsi="宋体" w:eastAsia="宋体" w:cs="宋体"/>
                <w:lang w:eastAsia="zh-CN"/>
              </w:rPr>
              <w:t>。</w:t>
            </w:r>
            <w:r>
              <w:rPr>
                <w:rFonts w:hint="eastAsia" w:ascii="宋体" w:hAnsi="宋体" w:eastAsia="宋体" w:cs="宋体"/>
                <w:color w:val="auto"/>
                <w:spacing w:val="1"/>
                <w:highlight w:val="yellow"/>
              </w:rPr>
              <w:t>本项最多得</w:t>
            </w:r>
            <w:r>
              <w:rPr>
                <w:rFonts w:hint="eastAsia" w:ascii="宋体" w:hAnsi="宋体" w:eastAsia="宋体" w:cs="宋体"/>
                <w:color w:val="auto"/>
                <w:spacing w:val="1"/>
                <w:highlight w:val="yellow"/>
                <w:lang w:val="en-US" w:eastAsia="zh-CN"/>
              </w:rPr>
              <w:t>3</w:t>
            </w:r>
            <w:r>
              <w:rPr>
                <w:rFonts w:hint="eastAsia" w:ascii="宋体" w:hAnsi="宋体" w:eastAsia="宋体" w:cs="宋体"/>
                <w:color w:val="auto"/>
                <w:spacing w:val="1"/>
                <w:highlight w:val="yellow"/>
              </w:rPr>
              <w:t>分。</w:t>
            </w:r>
          </w:p>
          <w:p>
            <w:pPr>
              <w:spacing w:line="274" w:lineRule="auto"/>
              <w:ind w:left="115" w:right="104" w:firstLine="422"/>
              <w:rPr>
                <w:rFonts w:hint="eastAsia"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宋体" w:hAnsi="宋体" w:eastAsia="宋体" w:cs="宋体"/>
                <w:color w:val="FF0000"/>
                <w:sz w:val="21"/>
                <w:szCs w:val="21"/>
                <w:lang w:val="en-US" w:eastAsia="zh-CN"/>
              </w:rPr>
              <w:t>2017年1月1日至今，</w:t>
            </w:r>
            <w:r>
              <w:rPr>
                <w:rFonts w:hint="eastAsia" w:ascii="宋体" w:hAnsi="宋体" w:eastAsia="宋体" w:cs="宋体"/>
                <w:spacing w:val="1"/>
              </w:rPr>
              <w:t>投标人</w:t>
            </w:r>
            <w:r>
              <w:rPr>
                <w:rFonts w:hint="eastAsia" w:ascii="宋体" w:hAnsi="宋体" w:eastAsia="宋体" w:cs="宋体"/>
                <w:color w:val="auto"/>
                <w:lang w:val="en-US" w:eastAsia="zh-CN"/>
              </w:rPr>
              <w:t>获得过中国勘察设计协会颁发的优秀勘察设计企业称号的得3分。提供奖状或奖牌等证明文件复印件，否则不得分。</w:t>
            </w:r>
            <w:r>
              <w:rPr>
                <w:rFonts w:hint="eastAsia" w:ascii="宋体" w:hAnsi="宋体" w:eastAsia="宋体" w:cs="宋体"/>
                <w:color w:val="FF0000"/>
                <w:sz w:val="21"/>
                <w:szCs w:val="21"/>
                <w:lang w:val="en-US" w:eastAsia="zh-CN"/>
              </w:rPr>
              <w:t>2017年1月1日至今，</w:t>
            </w:r>
            <w:r>
              <w:rPr>
                <w:rFonts w:hint="eastAsia" w:ascii="宋体" w:hAnsi="宋体" w:eastAsia="宋体" w:cs="宋体"/>
                <w:spacing w:val="1"/>
              </w:rPr>
              <w:t>投标人</w:t>
            </w:r>
            <w:r>
              <w:rPr>
                <w:rFonts w:hint="eastAsia" w:ascii="宋体" w:hAnsi="宋体" w:eastAsia="宋体" w:cs="宋体"/>
                <w:spacing w:val="1"/>
                <w:lang w:val="en-US" w:eastAsia="zh-CN"/>
              </w:rPr>
              <w:t>承担项目获得</w:t>
            </w:r>
            <w:r>
              <w:rPr>
                <w:rFonts w:hint="eastAsia" w:ascii="宋体" w:hAnsi="宋体" w:eastAsia="宋体" w:cs="宋体"/>
                <w:color w:val="auto"/>
                <w:lang w:val="en-US" w:eastAsia="zh-CN"/>
              </w:rPr>
              <w:t>全国优秀水利水电工程勘测设计金奖的得3分，银奖得2分，铜奖得1分，提供奖状或奖牌等证明文件复印件，否则不得分。</w:t>
            </w:r>
            <w:r>
              <w:rPr>
                <w:rFonts w:hint="eastAsia" w:ascii="宋体" w:hAnsi="宋体" w:eastAsia="宋体" w:cs="宋体"/>
                <w:color w:val="auto"/>
                <w:highlight w:val="yellow"/>
                <w:lang w:val="en-US" w:eastAsia="zh-CN"/>
              </w:rPr>
              <w:t>本项最多得3分。</w:t>
            </w:r>
          </w:p>
          <w:p>
            <w:pPr>
              <w:spacing w:before="4" w:line="260" w:lineRule="auto"/>
              <w:ind w:left="115" w:right="105" w:firstLine="419"/>
              <w:rPr>
                <w:rFonts w:ascii="宋体" w:hAnsi="宋体" w:eastAsia="宋体" w:cs="宋体"/>
              </w:rPr>
            </w:pPr>
            <w:r>
              <w:rPr>
                <w:rFonts w:ascii="宋体" w:hAnsi="宋体" w:eastAsia="宋体" w:cs="宋体"/>
                <w:spacing w:val="3"/>
              </w:rPr>
              <w:t>注：投标文</w:t>
            </w:r>
            <w:r>
              <w:rPr>
                <w:rFonts w:ascii="宋体" w:hAnsi="宋体" w:eastAsia="宋体" w:cs="宋体"/>
                <w:spacing w:val="2"/>
              </w:rPr>
              <w:t>件中提供获奖证书（或获奖文件</w:t>
            </w:r>
            <w:r>
              <w:rPr>
                <w:rFonts w:ascii="宋体" w:hAnsi="宋体" w:eastAsia="宋体" w:cs="宋体"/>
                <w:spacing w:val="3"/>
              </w:rPr>
              <w:t>）</w:t>
            </w:r>
            <w:r>
              <w:rPr>
                <w:rFonts w:hint="eastAsia" w:ascii="宋体" w:hAnsi="宋体" w:eastAsia="宋体" w:cs="宋体"/>
                <w:spacing w:val="3"/>
              </w:rPr>
              <w:t>、合同协议书或业主证明</w:t>
            </w:r>
            <w:r>
              <w:rPr>
                <w:rFonts w:ascii="宋体" w:hAnsi="宋体" w:eastAsia="宋体" w:cs="宋体"/>
                <w:spacing w:val="2"/>
              </w:rPr>
              <w:t>复印件</w:t>
            </w:r>
            <w:r>
              <w:rPr>
                <w:rFonts w:ascii="宋体" w:hAnsi="宋体" w:eastAsia="宋体" w:cs="宋体"/>
              </w:rPr>
              <w:t>（或扫描件</w:t>
            </w:r>
            <w:r>
              <w:rPr>
                <w:rFonts w:ascii="宋体" w:hAnsi="宋体" w:eastAsia="宋体" w:cs="宋体"/>
                <w:spacing w:val="-1"/>
              </w:rPr>
              <w:t>），</w:t>
            </w:r>
            <w:r>
              <w:rPr>
                <w:rFonts w:ascii="宋体" w:hAnsi="宋体" w:eastAsia="宋体" w:cs="宋体"/>
                <w:spacing w:val="-77"/>
              </w:rPr>
              <w:t xml:space="preserve"> </w:t>
            </w:r>
            <w:r>
              <w:rPr>
                <w:rFonts w:ascii="宋体" w:hAnsi="宋体" w:eastAsia="宋体" w:cs="宋体"/>
              </w:rPr>
              <w:t>认定时间以获奖证书（或获奖文件）</w:t>
            </w:r>
            <w:r>
              <w:rPr>
                <w:rFonts w:ascii="宋体" w:hAnsi="宋体" w:eastAsia="宋体" w:cs="宋体"/>
                <w:spacing w:val="-77"/>
              </w:rPr>
              <w:t xml:space="preserve"> </w:t>
            </w:r>
            <w:r>
              <w:rPr>
                <w:rFonts w:ascii="宋体" w:hAnsi="宋体" w:eastAsia="宋体" w:cs="宋体"/>
              </w:rPr>
              <w:t>上的盖章落款时间为准</w:t>
            </w:r>
            <w:r>
              <w:rPr>
                <w:rFonts w:ascii="宋体" w:hAnsi="宋体" w:eastAsia="宋体" w:cs="宋体"/>
                <w:spacing w:val="-1"/>
              </w:rPr>
              <w:t>，</w:t>
            </w:r>
            <w:r>
              <w:rPr>
                <w:rFonts w:ascii="宋体" w:hAnsi="宋体" w:eastAsia="宋体" w:cs="宋体"/>
                <w:spacing w:val="-93"/>
              </w:rPr>
              <w:t xml:space="preserve"> </w:t>
            </w:r>
            <w:r>
              <w:rPr>
                <w:rFonts w:ascii="宋体" w:hAnsi="宋体" w:eastAsia="宋体" w:cs="宋体"/>
              </w:rPr>
              <w:t>如没有落款时间</w:t>
            </w:r>
            <w:r>
              <w:rPr>
                <w:rFonts w:ascii="宋体" w:hAnsi="宋体" w:eastAsia="宋体" w:cs="宋体"/>
                <w:spacing w:val="-1"/>
              </w:rPr>
              <w:t>，</w:t>
            </w:r>
            <w:r>
              <w:rPr>
                <w:rFonts w:ascii="宋体" w:hAnsi="宋体" w:eastAsia="宋体" w:cs="宋体"/>
                <w:spacing w:val="-93"/>
              </w:rPr>
              <w:t xml:space="preserve"> </w:t>
            </w:r>
            <w:r>
              <w:rPr>
                <w:rFonts w:ascii="宋体" w:hAnsi="宋体" w:eastAsia="宋体" w:cs="宋体"/>
              </w:rPr>
              <w:t>评委会不予计分。同一项目以最高得分条款进行计分</w:t>
            </w:r>
            <w:r>
              <w:rPr>
                <w:rFonts w:ascii="宋体" w:hAnsi="宋体" w:eastAsia="宋体" w:cs="宋体"/>
                <w:spacing w:val="-10"/>
              </w:rPr>
              <w:t>，</w:t>
            </w:r>
            <w:r>
              <w:rPr>
                <w:rFonts w:ascii="宋体" w:hAnsi="宋体" w:eastAsia="宋体" w:cs="宋体"/>
                <w:spacing w:val="-105"/>
              </w:rPr>
              <w:t xml:space="preserve"> </w:t>
            </w:r>
            <w:r>
              <w:rPr>
                <w:rFonts w:ascii="宋体" w:hAnsi="宋体" w:eastAsia="宋体" w:cs="宋体"/>
              </w:rPr>
              <w:t>不累计得分</w:t>
            </w:r>
            <w:r>
              <w:rPr>
                <w:rFonts w:ascii="宋体" w:hAnsi="宋体" w:eastAsia="宋体" w:cs="宋体"/>
                <w:spacing w:val="-1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82" w:type="dxa"/>
            <w:gridSpan w:val="2"/>
            <w:vMerge w:val="continue"/>
            <w:noWrap w:val="0"/>
            <w:vAlign w:val="top"/>
          </w:tcPr>
          <w:p/>
        </w:tc>
        <w:tc>
          <w:tcPr>
            <w:tcW w:w="1062" w:type="dxa"/>
            <w:vMerge w:val="continue"/>
            <w:noWrap w:val="0"/>
            <w:vAlign w:val="top"/>
          </w:tcPr>
          <w:p/>
        </w:tc>
        <w:tc>
          <w:tcPr>
            <w:tcW w:w="2267" w:type="dxa"/>
            <w:noWrap w:val="0"/>
            <w:vAlign w:val="center"/>
          </w:tcPr>
          <w:p>
            <w:pPr>
              <w:spacing w:before="69" w:line="312" w:lineRule="exact"/>
              <w:ind w:firstLine="436"/>
              <w:rPr>
                <w:rFonts w:ascii="宋体" w:hAnsi="宋体" w:eastAsia="宋体" w:cs="宋体"/>
                <w:spacing w:val="-2"/>
                <w:position w:val="7"/>
              </w:rPr>
            </w:pPr>
            <w:r>
              <w:rPr>
                <w:rFonts w:ascii="宋体" w:hAnsi="宋体" w:eastAsia="宋体" w:cs="宋体"/>
                <w:spacing w:val="-2"/>
                <w:position w:val="7"/>
              </w:rPr>
              <w:t>信</w:t>
            </w:r>
            <w:r>
              <w:rPr>
                <w:rFonts w:ascii="宋体" w:hAnsi="宋体" w:eastAsia="宋体" w:cs="宋体"/>
                <w:spacing w:val="-1"/>
                <w:position w:val="7"/>
              </w:rPr>
              <w:t>用等级</w:t>
            </w:r>
            <w:r>
              <w:rPr>
                <w:rFonts w:ascii="宋体" w:hAnsi="宋体" w:eastAsia="宋体" w:cs="宋体"/>
                <w:spacing w:val="-2"/>
                <w:position w:val="7"/>
              </w:rPr>
              <w:t>（7分）</w:t>
            </w:r>
          </w:p>
        </w:tc>
        <w:tc>
          <w:tcPr>
            <w:tcW w:w="5531" w:type="dxa"/>
            <w:noWrap w:val="0"/>
            <w:vAlign w:val="top"/>
          </w:tcPr>
          <w:p>
            <w:pPr>
              <w:spacing w:before="1" w:line="274" w:lineRule="auto"/>
              <w:ind w:left="114" w:right="102" w:firstLine="1"/>
              <w:rPr>
                <w:rFonts w:ascii="宋体" w:hAnsi="宋体" w:eastAsia="宋体" w:cs="宋体"/>
                <w:spacing w:val="-7"/>
              </w:rPr>
            </w:pPr>
            <w:r>
              <w:rPr>
                <w:rFonts w:hint="eastAsia" w:ascii="宋体" w:hAnsi="宋体" w:eastAsia="宋体" w:cs="宋体"/>
              </w:rPr>
              <w:t>1、</w:t>
            </w:r>
            <w:r>
              <w:rPr>
                <w:rFonts w:ascii="宋体" w:hAnsi="宋体" w:eastAsia="宋体" w:cs="宋体"/>
              </w:rPr>
              <w:t>依据全国水利建设市场监管服务平台确定</w:t>
            </w:r>
            <w:r>
              <w:rPr>
                <w:rFonts w:hint="eastAsia" w:ascii="宋体" w:hAnsi="宋体" w:eastAsia="宋体" w:cs="宋体"/>
              </w:rPr>
              <w:t>（需水利部信用评价）</w:t>
            </w:r>
            <w:r>
              <w:rPr>
                <w:rFonts w:ascii="宋体" w:hAnsi="宋体" w:eastAsia="宋体" w:cs="宋体"/>
                <w:spacing w:val="-7"/>
              </w:rPr>
              <w:t>：</w:t>
            </w:r>
          </w:p>
          <w:p>
            <w:pPr>
              <w:spacing w:before="1" w:line="274" w:lineRule="auto"/>
              <w:ind w:left="114" w:right="102" w:firstLine="1"/>
              <w:rPr>
                <w:rFonts w:ascii="宋体" w:hAnsi="宋体" w:eastAsia="宋体" w:cs="宋体"/>
              </w:rPr>
            </w:pPr>
            <w:r>
              <w:rPr>
                <w:rFonts w:hint="eastAsia" w:ascii="宋体" w:hAnsi="宋体" w:eastAsia="宋体" w:cs="宋体"/>
                <w:spacing w:val="-5"/>
              </w:rPr>
              <w:t>投标人在</w:t>
            </w:r>
            <w:r>
              <w:rPr>
                <w:rFonts w:ascii="宋体" w:hAnsi="宋体" w:eastAsia="宋体" w:cs="宋体"/>
              </w:rPr>
              <w:t>全国水利建设市场监管服务平台</w:t>
            </w:r>
            <w:r>
              <w:rPr>
                <w:rFonts w:hint="eastAsia" w:ascii="宋体" w:hAnsi="宋体" w:eastAsia="宋体" w:cs="宋体"/>
              </w:rPr>
              <w:t>中水利部信用评价（</w:t>
            </w:r>
            <w:r>
              <w:rPr>
                <w:rFonts w:hint="eastAsia" w:ascii="宋体" w:hAnsi="宋体" w:eastAsia="宋体" w:cs="宋体"/>
                <w:lang w:eastAsia="zh-CN"/>
              </w:rPr>
              <w:t>施工或</w:t>
            </w:r>
            <w:r>
              <w:rPr>
                <w:rFonts w:hint="eastAsia" w:ascii="宋体" w:hAnsi="宋体" w:eastAsia="宋体" w:cs="宋体"/>
              </w:rPr>
              <w:t>勘察</w:t>
            </w:r>
            <w:r>
              <w:rPr>
                <w:rFonts w:hint="eastAsia" w:ascii="宋体" w:hAnsi="宋体" w:eastAsia="宋体" w:cs="宋体"/>
                <w:lang w:eastAsia="zh-CN"/>
              </w:rPr>
              <w:t>或</w:t>
            </w:r>
            <w:r>
              <w:rPr>
                <w:rFonts w:hint="eastAsia" w:ascii="宋体" w:hAnsi="宋体" w:eastAsia="宋体" w:cs="宋体"/>
              </w:rPr>
              <w:t>设计）为</w:t>
            </w:r>
            <w:r>
              <w:rPr>
                <w:rFonts w:ascii="Times New Roman" w:hAnsi="Times New Roman" w:eastAsia="Times New Roman" w:cs="Times New Roman"/>
              </w:rPr>
              <w:t xml:space="preserve">AAA </w:t>
            </w:r>
            <w:r>
              <w:rPr>
                <w:rFonts w:ascii="宋体" w:hAnsi="宋体" w:eastAsia="宋体" w:cs="宋体"/>
              </w:rPr>
              <w:t>级得</w:t>
            </w:r>
            <w:r>
              <w:rPr>
                <w:rFonts w:ascii="宋体" w:hAnsi="宋体" w:eastAsia="宋体" w:cs="宋体"/>
                <w:spacing w:val="-1"/>
              </w:rPr>
              <w:t xml:space="preserve"> </w:t>
            </w:r>
            <w:r>
              <w:rPr>
                <w:rFonts w:hint="eastAsia" w:ascii="Times New Roman" w:hAnsi="Times New Roman" w:eastAsia="宋体" w:cs="Times New Roman"/>
                <w:lang w:val="en-US" w:eastAsia="zh-CN"/>
              </w:rPr>
              <w:t>7</w:t>
            </w:r>
            <w:r>
              <w:rPr>
                <w:rFonts w:ascii="Times New Roman" w:hAnsi="Times New Roman" w:eastAsia="Times New Roman" w:cs="Times New Roman"/>
                <w:spacing w:val="-1"/>
              </w:rPr>
              <w:t xml:space="preserve"> </w:t>
            </w:r>
            <w:r>
              <w:rPr>
                <w:rFonts w:ascii="宋体" w:hAnsi="宋体" w:eastAsia="宋体" w:cs="宋体"/>
              </w:rPr>
              <w:t>分</w:t>
            </w:r>
            <w:r>
              <w:rPr>
                <w:rFonts w:ascii="宋体" w:hAnsi="宋体" w:eastAsia="宋体" w:cs="宋体"/>
                <w:spacing w:val="-21"/>
              </w:rPr>
              <w:t>，</w:t>
            </w:r>
            <w:r>
              <w:rPr>
                <w:rFonts w:ascii="宋体" w:hAnsi="宋体" w:eastAsia="宋体" w:cs="宋体"/>
                <w:spacing w:val="-105"/>
              </w:rPr>
              <w:t xml:space="preserve"> </w:t>
            </w:r>
            <w:r>
              <w:rPr>
                <w:rFonts w:ascii="Times New Roman" w:hAnsi="Times New Roman" w:eastAsia="Times New Roman" w:cs="Times New Roman"/>
              </w:rPr>
              <w:t>AA</w:t>
            </w:r>
            <w:r>
              <w:rPr>
                <w:rFonts w:ascii="Times New Roman" w:hAnsi="Times New Roman" w:eastAsia="Times New Roman" w:cs="Times New Roman"/>
                <w:spacing w:val="-1"/>
              </w:rPr>
              <w:t xml:space="preserve"> </w:t>
            </w:r>
            <w:r>
              <w:rPr>
                <w:rFonts w:ascii="宋体" w:hAnsi="宋体" w:eastAsia="宋体" w:cs="宋体"/>
              </w:rPr>
              <w:t xml:space="preserve">级得 </w:t>
            </w:r>
            <w:r>
              <w:rPr>
                <w:rFonts w:hint="eastAsia" w:ascii="Times New Roman" w:hAnsi="Times New Roman" w:eastAsia="宋体" w:cs="Times New Roman"/>
                <w:lang w:val="en-US" w:eastAsia="zh-CN"/>
              </w:rPr>
              <w:t>5</w:t>
            </w:r>
            <w:r>
              <w:rPr>
                <w:rFonts w:ascii="Times New Roman" w:hAnsi="Times New Roman" w:eastAsia="Times New Roman" w:cs="Times New Roman"/>
              </w:rPr>
              <w:t xml:space="preserve"> </w:t>
            </w:r>
            <w:r>
              <w:rPr>
                <w:rFonts w:ascii="宋体" w:hAnsi="宋体" w:eastAsia="宋体" w:cs="宋体"/>
              </w:rPr>
              <w:t>分</w:t>
            </w:r>
            <w:r>
              <w:rPr>
                <w:rFonts w:ascii="宋体" w:hAnsi="宋体" w:eastAsia="宋体" w:cs="宋体"/>
                <w:spacing w:val="-21"/>
              </w:rPr>
              <w:t>，</w:t>
            </w:r>
            <w:r>
              <w:rPr>
                <w:rFonts w:ascii="宋体" w:hAnsi="宋体" w:eastAsia="宋体" w:cs="宋体"/>
                <w:spacing w:val="-105"/>
              </w:rPr>
              <w:t xml:space="preserve"> </w:t>
            </w:r>
            <w:r>
              <w:rPr>
                <w:rFonts w:ascii="Times New Roman" w:hAnsi="Times New Roman" w:eastAsia="Times New Roman" w:cs="Times New Roman"/>
              </w:rPr>
              <w:t xml:space="preserve">A </w:t>
            </w:r>
            <w:r>
              <w:rPr>
                <w:rFonts w:ascii="宋体" w:hAnsi="宋体" w:eastAsia="宋体" w:cs="宋体"/>
              </w:rPr>
              <w:t xml:space="preserve">级得 </w:t>
            </w:r>
            <w:r>
              <w:rPr>
                <w:rFonts w:hint="eastAsia" w:ascii="Times New Roman" w:hAnsi="Times New Roman" w:eastAsia="宋体" w:cs="Times New Roman"/>
                <w:lang w:val="en-US" w:eastAsia="zh-CN"/>
              </w:rPr>
              <w:t>3</w:t>
            </w:r>
            <w:r>
              <w:rPr>
                <w:rFonts w:ascii="Times New Roman" w:hAnsi="Times New Roman" w:eastAsia="Times New Roman" w:cs="Times New Roman"/>
              </w:rPr>
              <w:t xml:space="preserve"> </w:t>
            </w:r>
            <w:r>
              <w:rPr>
                <w:rFonts w:ascii="宋体" w:hAnsi="宋体" w:eastAsia="宋体" w:cs="宋体"/>
              </w:rPr>
              <w:t>分</w:t>
            </w:r>
            <w:r>
              <w:rPr>
                <w:rFonts w:ascii="宋体" w:hAnsi="宋体" w:eastAsia="宋体" w:cs="宋体"/>
                <w:spacing w:val="-21"/>
              </w:rPr>
              <w:t>，</w:t>
            </w:r>
            <w:r>
              <w:rPr>
                <w:rFonts w:ascii="宋体" w:hAnsi="宋体" w:eastAsia="宋体" w:cs="宋体"/>
                <w:spacing w:val="-105"/>
              </w:rPr>
              <w:t xml:space="preserve"> </w:t>
            </w:r>
            <w:r>
              <w:rPr>
                <w:rFonts w:ascii="宋体" w:hAnsi="宋体" w:eastAsia="宋体" w:cs="宋体"/>
              </w:rPr>
              <w:t>其余不得分</w:t>
            </w:r>
            <w:r>
              <w:rPr>
                <w:rFonts w:ascii="宋体" w:hAnsi="宋体" w:eastAsia="宋体" w:cs="宋体"/>
                <w:spacing w:val="-21"/>
              </w:rPr>
              <w:t>。</w:t>
            </w:r>
            <w:r>
              <w:rPr>
                <w:rFonts w:ascii="宋体" w:hAnsi="宋体" w:eastAsia="宋体" w:cs="宋体"/>
              </w:rPr>
              <w:t xml:space="preserve"> </w:t>
            </w:r>
          </w:p>
          <w:p>
            <w:pPr>
              <w:spacing w:before="1" w:line="274" w:lineRule="auto"/>
              <w:ind w:left="114" w:right="102" w:firstLine="1"/>
              <w:rPr>
                <w:rFonts w:ascii="宋体" w:hAnsi="宋体" w:eastAsia="宋体" w:cs="宋体"/>
                <w:spacing w:val="-5"/>
              </w:rPr>
            </w:pPr>
            <w:r>
              <w:rPr>
                <w:rFonts w:ascii="宋体" w:hAnsi="宋体" w:eastAsia="宋体" w:cs="宋体"/>
                <w:spacing w:val="1"/>
              </w:rPr>
              <w:t>（信用等级以评标委员会查询为准，但投标人需附全</w:t>
            </w:r>
            <w:r>
              <w:rPr>
                <w:rFonts w:ascii="宋体" w:hAnsi="宋体" w:eastAsia="宋体" w:cs="宋体"/>
              </w:rPr>
              <w:t xml:space="preserve">国水 </w:t>
            </w:r>
            <w:r>
              <w:rPr>
                <w:rFonts w:ascii="宋体" w:hAnsi="宋体" w:eastAsia="宋体" w:cs="宋体"/>
                <w:spacing w:val="1"/>
              </w:rPr>
              <w:t>利建设市场监管服务平台</w:t>
            </w:r>
            <w:r>
              <w:rPr>
                <w:rFonts w:ascii="宋体" w:hAnsi="宋体" w:eastAsia="宋体" w:cs="宋体"/>
              </w:rPr>
              <w:t>截图</w:t>
            </w:r>
            <w:r>
              <w:rPr>
                <w:rFonts w:ascii="宋体" w:hAnsi="宋体" w:eastAsia="宋体" w:cs="宋体"/>
                <w:spacing w:val="-5"/>
              </w:rPr>
              <w:t>）</w:t>
            </w:r>
          </w:p>
          <w:p>
            <w:pPr>
              <w:spacing w:before="52" w:line="274" w:lineRule="auto"/>
              <w:ind w:left="118" w:right="107"/>
              <w:rPr>
                <w:rFonts w:ascii="宋体" w:hAnsi="宋体" w:eastAsia="宋体" w:cs="宋体"/>
                <w:spacing w:val="-5"/>
              </w:rPr>
            </w:pPr>
            <w:r>
              <w:rPr>
                <w:rFonts w:hint="eastAsia" w:ascii="宋体" w:hAnsi="宋体" w:eastAsia="宋体" w:cs="宋体"/>
                <w:spacing w:val="-5"/>
              </w:rPr>
              <w:t>2、依据芜湖市公共资源交易诚信评价信息系统</w:t>
            </w:r>
            <w:r>
              <w:rPr>
                <w:rFonts w:hint="eastAsia" w:ascii="宋体" w:hAnsi="宋体" w:eastAsia="宋体" w:cs="宋体"/>
                <w:b/>
                <w:bCs/>
                <w:color w:val="0000FF"/>
                <w:spacing w:val="-5"/>
                <w:lang w:eastAsia="zh-CN"/>
              </w:rPr>
              <w:t>公示的投标人的</w:t>
            </w:r>
            <w:r>
              <w:rPr>
                <w:rFonts w:hint="eastAsia" w:ascii="宋体" w:hAnsi="宋体" w:eastAsia="宋体" w:cs="宋体"/>
                <w:spacing w:val="-5"/>
              </w:rPr>
              <w:t>市政</w:t>
            </w:r>
            <w:r>
              <w:rPr>
                <w:rFonts w:hint="eastAsia" w:ascii="宋体" w:hAnsi="宋体" w:eastAsia="宋体" w:cs="宋体"/>
                <w:spacing w:val="-5"/>
                <w:lang w:eastAsia="zh-CN"/>
              </w:rPr>
              <w:t>工程</w:t>
            </w:r>
            <w:r>
              <w:rPr>
                <w:rFonts w:hint="eastAsia" w:ascii="宋体" w:hAnsi="宋体" w:eastAsia="宋体" w:cs="宋体"/>
                <w:spacing w:val="-5"/>
              </w:rPr>
              <w:t>信用评价结果为</w:t>
            </w:r>
            <w:r>
              <w:rPr>
                <w:rFonts w:hint="eastAsia" w:ascii="Times New Roman" w:hAnsi="Times New Roman" w:eastAsia="Times New Roman" w:cs="Times New Roman"/>
              </w:rPr>
              <w:t>AAA</w:t>
            </w:r>
            <w:r>
              <w:rPr>
                <w:rFonts w:hint="eastAsia" w:ascii="宋体" w:hAnsi="宋体" w:eastAsia="宋体" w:cs="宋体"/>
                <w:spacing w:val="-5"/>
              </w:rPr>
              <w:t xml:space="preserve"> 级得</w:t>
            </w:r>
            <w:r>
              <w:rPr>
                <w:rFonts w:hint="eastAsia" w:ascii="宋体" w:hAnsi="宋体" w:eastAsia="宋体" w:cs="宋体"/>
                <w:spacing w:val="-5"/>
                <w:lang w:val="en-US" w:eastAsia="zh-CN"/>
              </w:rPr>
              <w:t>7</w:t>
            </w:r>
            <w:r>
              <w:rPr>
                <w:rFonts w:hint="eastAsia" w:ascii="宋体" w:hAnsi="宋体" w:eastAsia="宋体" w:cs="宋体"/>
                <w:spacing w:val="-5"/>
              </w:rPr>
              <w:t xml:space="preserve">分， </w:t>
            </w:r>
            <w:r>
              <w:rPr>
                <w:rFonts w:hint="eastAsia" w:ascii="Times New Roman" w:hAnsi="Times New Roman" w:eastAsia="Times New Roman" w:cs="Times New Roman"/>
              </w:rPr>
              <w:t>AA</w:t>
            </w:r>
            <w:r>
              <w:rPr>
                <w:rFonts w:hint="eastAsia" w:ascii="宋体" w:hAnsi="宋体" w:eastAsia="宋体" w:cs="宋体"/>
                <w:spacing w:val="-5"/>
              </w:rPr>
              <w:t xml:space="preserve"> 级得</w:t>
            </w:r>
            <w:r>
              <w:rPr>
                <w:rFonts w:hint="eastAsia" w:ascii="宋体" w:hAnsi="宋体" w:eastAsia="宋体" w:cs="宋体"/>
                <w:spacing w:val="-5"/>
                <w:lang w:val="en-US" w:eastAsia="zh-CN"/>
              </w:rPr>
              <w:t>5</w:t>
            </w:r>
            <w:r>
              <w:rPr>
                <w:rFonts w:hint="eastAsia" w:ascii="宋体" w:hAnsi="宋体" w:eastAsia="宋体" w:cs="宋体"/>
                <w:spacing w:val="-5"/>
              </w:rPr>
              <w:t>分，</w:t>
            </w:r>
            <w:r>
              <w:rPr>
                <w:rFonts w:hint="eastAsia" w:ascii="Times New Roman" w:hAnsi="Times New Roman" w:eastAsia="Times New Roman" w:cs="Times New Roman"/>
              </w:rPr>
              <w:t>A</w:t>
            </w:r>
            <w:r>
              <w:rPr>
                <w:rFonts w:hint="eastAsia" w:ascii="宋体" w:hAnsi="宋体" w:eastAsia="宋体" w:cs="宋体"/>
                <w:spacing w:val="-5"/>
              </w:rPr>
              <w:t>级得</w:t>
            </w:r>
            <w:r>
              <w:rPr>
                <w:rFonts w:hint="eastAsia" w:ascii="宋体" w:hAnsi="宋体" w:eastAsia="宋体" w:cs="宋体"/>
                <w:spacing w:val="-5"/>
                <w:lang w:val="en-US" w:eastAsia="zh-CN"/>
              </w:rPr>
              <w:t>3</w:t>
            </w:r>
            <w:r>
              <w:rPr>
                <w:rFonts w:hint="eastAsia" w:ascii="宋体" w:hAnsi="宋体" w:eastAsia="宋体" w:cs="宋体"/>
                <w:spacing w:val="-5"/>
              </w:rPr>
              <w:t>分，其余不得分。</w:t>
            </w:r>
          </w:p>
          <w:p>
            <w:pPr>
              <w:spacing w:before="52" w:line="274" w:lineRule="auto"/>
              <w:ind w:left="118" w:right="107" w:firstLine="451"/>
              <w:rPr>
                <w:rFonts w:hint="eastAsia" w:ascii="宋体" w:hAnsi="宋体" w:eastAsia="宋体" w:cs="宋体"/>
                <w:spacing w:val="1"/>
                <w:lang w:val="en-US" w:eastAsia="zh-CN"/>
              </w:rPr>
            </w:pPr>
            <w:r>
              <w:rPr>
                <w:rFonts w:ascii="宋体" w:hAnsi="宋体" w:eastAsia="宋体" w:cs="宋体"/>
                <w:spacing w:val="3"/>
              </w:rPr>
              <w:t>注：</w:t>
            </w:r>
            <w:r>
              <w:rPr>
                <w:rFonts w:hint="eastAsia" w:ascii="宋体" w:hAnsi="宋体" w:eastAsia="宋体" w:cs="宋体"/>
                <w:spacing w:val="-5"/>
              </w:rPr>
              <w:t>联合体投标的，信用分以联合体成员中的信用分较高值计算。</w:t>
            </w:r>
            <w:r>
              <w:rPr>
                <w:rFonts w:hint="eastAsia" w:ascii="宋体" w:hAnsi="宋体" w:eastAsia="宋体" w:cs="宋体"/>
                <w:spacing w:val="-5"/>
                <w:lang w:eastAsia="zh-CN"/>
              </w:rPr>
              <w:t>信用等级得分</w:t>
            </w:r>
            <w:r>
              <w:rPr>
                <w:rFonts w:hint="eastAsia" w:ascii="宋体" w:hAnsi="宋体" w:eastAsia="宋体" w:cs="宋体"/>
                <w:spacing w:val="-5"/>
                <w:lang w:val="en-US" w:eastAsia="zh-CN"/>
              </w:rPr>
              <w:t>以</w:t>
            </w:r>
            <w:r>
              <w:rPr>
                <w:rFonts w:hint="eastAsia" w:ascii="宋体" w:hAnsi="宋体" w:eastAsia="宋体" w:cs="宋体"/>
                <w:b/>
                <w:bCs/>
                <w:color w:val="0000FF"/>
                <w:spacing w:val="-5"/>
              </w:rPr>
              <w:t>水利部信用评价</w:t>
            </w:r>
            <w:r>
              <w:rPr>
                <w:rFonts w:hint="eastAsia" w:ascii="宋体" w:hAnsi="宋体" w:eastAsia="宋体" w:cs="宋体"/>
                <w:spacing w:val="-5"/>
                <w:lang w:eastAsia="zh-CN"/>
              </w:rPr>
              <w:t>得分</w:t>
            </w:r>
            <w:r>
              <w:rPr>
                <w:rFonts w:hint="eastAsia" w:ascii="宋体" w:hAnsi="宋体" w:eastAsia="宋体" w:cs="宋体"/>
                <w:spacing w:val="-5"/>
                <w:lang w:val="en-US" w:eastAsia="zh-CN"/>
              </w:rPr>
              <w:t>与</w:t>
            </w:r>
            <w:r>
              <w:rPr>
                <w:rFonts w:hint="eastAsia" w:ascii="宋体" w:hAnsi="宋体" w:eastAsia="宋体" w:cs="宋体"/>
                <w:spacing w:val="-5"/>
              </w:rPr>
              <w:t>芜湖市公共资源交易诚信评价信息系统</w:t>
            </w:r>
            <w:r>
              <w:rPr>
                <w:rFonts w:hint="eastAsia" w:ascii="宋体" w:hAnsi="宋体" w:eastAsia="宋体" w:cs="宋体"/>
                <w:b/>
                <w:bCs/>
                <w:color w:val="0000FF"/>
                <w:spacing w:val="-5"/>
                <w:lang w:eastAsia="zh-CN"/>
              </w:rPr>
              <w:t>公示的</w:t>
            </w:r>
            <w:r>
              <w:rPr>
                <w:rFonts w:hint="eastAsia" w:ascii="宋体" w:hAnsi="宋体" w:eastAsia="宋体" w:cs="宋体"/>
                <w:b/>
                <w:bCs/>
                <w:color w:val="0000FF"/>
                <w:spacing w:val="-5"/>
              </w:rPr>
              <w:t>市政</w:t>
            </w:r>
            <w:r>
              <w:rPr>
                <w:rFonts w:hint="eastAsia" w:ascii="宋体" w:hAnsi="宋体" w:eastAsia="宋体" w:cs="宋体"/>
                <w:b/>
                <w:bCs/>
                <w:color w:val="0000FF"/>
                <w:spacing w:val="-5"/>
                <w:lang w:eastAsia="zh-CN"/>
              </w:rPr>
              <w:t>工程信用</w:t>
            </w:r>
            <w:r>
              <w:rPr>
                <w:rFonts w:hint="eastAsia" w:ascii="宋体" w:hAnsi="宋体" w:eastAsia="宋体" w:cs="宋体"/>
                <w:b/>
                <w:bCs/>
                <w:color w:val="0000FF"/>
                <w:spacing w:val="-5"/>
              </w:rPr>
              <w:t>评价</w:t>
            </w:r>
            <w:r>
              <w:rPr>
                <w:rFonts w:hint="eastAsia" w:ascii="宋体" w:hAnsi="宋体" w:eastAsia="宋体" w:cs="宋体"/>
                <w:spacing w:val="-5"/>
              </w:rPr>
              <w:t>结果</w:t>
            </w:r>
            <w:r>
              <w:rPr>
                <w:rFonts w:hint="eastAsia" w:ascii="宋体" w:hAnsi="宋体" w:eastAsia="宋体" w:cs="宋体"/>
                <w:spacing w:val="-5"/>
                <w:lang w:eastAsia="zh-CN"/>
              </w:rPr>
              <w:t>得分中</w:t>
            </w:r>
            <w:r>
              <w:rPr>
                <w:rFonts w:hint="eastAsia" w:ascii="宋体" w:hAnsi="宋体" w:eastAsia="宋体" w:cs="宋体"/>
                <w:b/>
                <w:bCs/>
                <w:color w:val="0000FF"/>
                <w:spacing w:val="-5"/>
                <w:lang w:eastAsia="zh-CN"/>
              </w:rPr>
              <w:t>较高得分</w:t>
            </w:r>
            <w:r>
              <w:rPr>
                <w:rFonts w:hint="eastAsia" w:ascii="宋体" w:hAnsi="宋体" w:eastAsia="宋体" w:cs="宋体"/>
                <w:spacing w:val="-5"/>
                <w:lang w:eastAsia="zh-CN"/>
              </w:rPr>
              <w:t>为最终得分。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082" w:type="dxa"/>
            <w:gridSpan w:val="2"/>
            <w:vMerge w:val="restart"/>
            <w:noWrap w:val="0"/>
            <w:vAlign w:val="center"/>
          </w:tcPr>
          <w:p>
            <w:pPr>
              <w:jc w:val="center"/>
              <w:rPr>
                <w:rFonts w:hint="eastAsia" w:ascii="宋体" w:hAnsi="宋体" w:cs="宋体"/>
              </w:rPr>
            </w:pPr>
          </w:p>
          <w:p>
            <w:pPr>
              <w:pStyle w:val="2"/>
              <w:jc w:val="center"/>
              <w:rPr>
                <w:rFonts w:hint="eastAsia" w:ascii="宋体" w:hAnsi="宋体" w:cs="宋体"/>
              </w:rPr>
            </w:pPr>
          </w:p>
          <w:p>
            <w:pPr>
              <w:pStyle w:val="2"/>
              <w:jc w:val="center"/>
              <w:rPr>
                <w:rFonts w:hint="eastAsia" w:ascii="宋体" w:hAnsi="宋体" w:cs="宋体"/>
              </w:rPr>
            </w:pPr>
          </w:p>
          <w:p>
            <w:pPr>
              <w:pStyle w:val="2"/>
              <w:jc w:val="center"/>
              <w:rPr>
                <w:rFonts w:hint="eastAsia" w:ascii="宋体" w:hAnsi="宋体" w:cs="宋体"/>
              </w:rPr>
            </w:pPr>
          </w:p>
          <w:p>
            <w:pPr>
              <w:pStyle w:val="2"/>
              <w:jc w:val="center"/>
              <w:rPr>
                <w:rFonts w:hint="eastAsia" w:ascii="宋体" w:hAnsi="宋体" w:cs="宋体"/>
              </w:rPr>
            </w:pPr>
          </w:p>
          <w:p>
            <w:pPr>
              <w:pStyle w:val="2"/>
              <w:jc w:val="center"/>
              <w:rPr>
                <w:rFonts w:hint="eastAsia" w:ascii="宋体" w:hAnsi="宋体" w:cs="宋体"/>
              </w:rPr>
            </w:pPr>
          </w:p>
          <w:p>
            <w:pPr>
              <w:jc w:val="center"/>
              <w:rPr>
                <w:rFonts w:hint="eastAsia" w:ascii="宋体" w:hAnsi="宋体" w:cs="宋体"/>
              </w:rPr>
            </w:pPr>
          </w:p>
          <w:p>
            <w:pPr>
              <w:jc w:val="center"/>
              <w:rPr>
                <w:rFonts w:hint="eastAsia" w:ascii="宋体" w:hAnsi="宋体" w:cs="宋体"/>
              </w:rPr>
            </w:pPr>
          </w:p>
          <w:p>
            <w:pPr>
              <w:jc w:val="center"/>
              <w:rPr>
                <w:rFonts w:hint="eastAsia" w:ascii="宋体" w:hAnsi="宋体" w:cs="宋体"/>
              </w:rPr>
            </w:pPr>
          </w:p>
          <w:p>
            <w:pPr>
              <w:jc w:val="center"/>
              <w:rPr>
                <w:rFonts w:hint="eastAsia" w:ascii="宋体" w:hAnsi="宋体" w:cs="宋体"/>
              </w:rPr>
            </w:pPr>
          </w:p>
          <w:p>
            <w:pPr>
              <w:jc w:val="center"/>
              <w:rPr>
                <w:rFonts w:hint="eastAsia" w:ascii="宋体" w:hAnsi="宋体" w:cs="宋体"/>
              </w:rPr>
            </w:pPr>
          </w:p>
          <w:p>
            <w:pPr>
              <w:pStyle w:val="2"/>
              <w:jc w:val="center"/>
              <w:rPr>
                <w:rFonts w:hint="eastAsia" w:ascii="宋体" w:hAnsi="宋体" w:cs="宋体"/>
              </w:rPr>
            </w:pPr>
          </w:p>
          <w:p>
            <w:pPr>
              <w:pStyle w:val="2"/>
              <w:jc w:val="center"/>
              <w:rPr>
                <w:rFonts w:hint="eastAsia" w:ascii="宋体" w:hAnsi="宋体" w:cs="宋体"/>
              </w:rPr>
            </w:pPr>
          </w:p>
          <w:p>
            <w:pPr>
              <w:pStyle w:val="2"/>
              <w:jc w:val="center"/>
              <w:rPr>
                <w:rFonts w:hint="eastAsia" w:ascii="宋体" w:hAnsi="宋体" w:cs="宋体"/>
              </w:rPr>
            </w:pPr>
          </w:p>
          <w:p>
            <w:pPr>
              <w:pStyle w:val="2"/>
              <w:jc w:val="center"/>
              <w:rPr>
                <w:rFonts w:hint="eastAsia" w:ascii="宋体" w:hAnsi="宋体" w:cs="宋体"/>
              </w:rPr>
            </w:pPr>
          </w:p>
          <w:p>
            <w:pPr>
              <w:pStyle w:val="2"/>
              <w:jc w:val="center"/>
              <w:rPr>
                <w:rFonts w:hint="eastAsia" w:ascii="宋体" w:hAnsi="宋体" w:cs="宋体"/>
              </w:rPr>
            </w:pPr>
          </w:p>
          <w:p>
            <w:pPr>
              <w:pStyle w:val="2"/>
              <w:jc w:val="center"/>
              <w:rPr>
                <w:rFonts w:hint="eastAsia" w:ascii="宋体" w:hAnsi="宋体" w:cs="宋体"/>
              </w:rPr>
            </w:pPr>
          </w:p>
          <w:p>
            <w:pPr>
              <w:jc w:val="center"/>
            </w:pPr>
            <w:r>
              <w:rPr>
                <w:rFonts w:hint="eastAsia" w:ascii="宋体" w:hAnsi="宋体" w:cs="宋体"/>
              </w:rPr>
              <w:t>技术标（5</w:t>
            </w:r>
            <w:r>
              <w:rPr>
                <w:rFonts w:ascii="宋体" w:hAnsi="宋体" w:cs="宋体"/>
              </w:rPr>
              <w:t>0</w:t>
            </w:r>
            <w:r>
              <w:rPr>
                <w:rFonts w:hint="eastAsia" w:ascii="宋体" w:hAnsi="宋体" w:cs="宋体"/>
              </w:rPr>
              <w:t>分）</w:t>
            </w:r>
          </w:p>
        </w:tc>
        <w:tc>
          <w:tcPr>
            <w:tcW w:w="1062" w:type="dxa"/>
            <w:vMerge w:val="restart"/>
            <w:noWrap w:val="0"/>
            <w:vAlign w:val="center"/>
          </w:tcPr>
          <w:p>
            <w:pPr>
              <w:spacing w:line="300" w:lineRule="auto"/>
              <w:jc w:val="center"/>
              <w:rPr>
                <w:rFonts w:ascii="宋体" w:hAnsi="宋体" w:eastAsia="宋体" w:cs="宋体"/>
                <w:spacing w:val="-5"/>
              </w:rPr>
            </w:pPr>
            <w:r>
              <w:rPr>
                <w:rFonts w:ascii="宋体" w:hAnsi="宋体" w:eastAsia="宋体" w:cs="宋体"/>
                <w:spacing w:val="-5"/>
              </w:rPr>
              <w:t>总体实施方案（</w:t>
            </w:r>
            <w:r>
              <w:rPr>
                <w:rFonts w:hint="eastAsia" w:ascii="宋体" w:hAnsi="宋体" w:eastAsia="宋体" w:cs="宋体"/>
                <w:spacing w:val="-5"/>
                <w:lang w:val="en-US" w:eastAsia="zh-CN"/>
              </w:rPr>
              <w:t>3</w:t>
            </w:r>
            <w:r>
              <w:rPr>
                <w:rFonts w:ascii="宋体" w:hAnsi="宋体" w:eastAsia="宋体" w:cs="宋体"/>
                <w:spacing w:val="-5"/>
              </w:rPr>
              <w:t>分）</w:t>
            </w:r>
          </w:p>
        </w:tc>
        <w:tc>
          <w:tcPr>
            <w:tcW w:w="2267" w:type="dxa"/>
            <w:noWrap w:val="0"/>
            <w:vAlign w:val="center"/>
          </w:tcPr>
          <w:p>
            <w:pPr>
              <w:spacing w:line="263" w:lineRule="auto"/>
              <w:jc w:val="center"/>
              <w:rPr>
                <w:rFonts w:ascii="宋体" w:hAnsi="宋体" w:eastAsia="宋体" w:cs="宋体"/>
                <w:spacing w:val="-5"/>
              </w:rPr>
            </w:pPr>
            <w:r>
              <w:rPr>
                <w:rFonts w:hint="eastAsia" w:ascii="宋体" w:hAnsi="宋体" w:eastAsia="宋体" w:cs="宋体"/>
                <w:spacing w:val="-5"/>
              </w:rPr>
              <w:t>项目目标</w:t>
            </w:r>
            <w:r>
              <w:rPr>
                <w:rFonts w:ascii="宋体" w:hAnsi="宋体" w:eastAsia="宋体" w:cs="宋体"/>
                <w:spacing w:val="-5"/>
              </w:rPr>
              <w:t>（</w:t>
            </w:r>
            <w:r>
              <w:rPr>
                <w:rFonts w:hint="eastAsia" w:ascii="宋体" w:hAnsi="宋体" w:eastAsia="宋体" w:cs="宋体"/>
                <w:spacing w:val="-5"/>
                <w:lang w:val="en-US" w:eastAsia="zh-CN"/>
              </w:rPr>
              <w:t>1</w:t>
            </w:r>
            <w:r>
              <w:rPr>
                <w:rFonts w:ascii="宋体" w:hAnsi="宋体" w:eastAsia="宋体" w:cs="宋体"/>
                <w:spacing w:val="-5"/>
              </w:rPr>
              <w:t>分）</w:t>
            </w:r>
          </w:p>
        </w:tc>
        <w:tc>
          <w:tcPr>
            <w:tcW w:w="5531" w:type="dxa"/>
            <w:noWrap w:val="0"/>
            <w:vAlign w:val="center"/>
          </w:tcPr>
          <w:p>
            <w:pPr>
              <w:rPr>
                <w:rFonts w:ascii="宋体" w:hAnsi="宋体" w:eastAsia="宋体" w:cs="宋体"/>
                <w:spacing w:val="-5"/>
              </w:rPr>
            </w:pPr>
            <w:r>
              <w:rPr>
                <w:rFonts w:hint="eastAsia" w:ascii="宋体" w:hAnsi="宋体" w:eastAsia="宋体" w:cs="宋体"/>
                <w:spacing w:val="-5"/>
              </w:rPr>
              <w:t>评审内容：项目各项目标是否明确；质量、工期、造价、安全、环保、文明施工、职业健康目标是否满足招标要求</w:t>
            </w:r>
            <w:r>
              <w:rPr>
                <w:rFonts w:ascii="宋体" w:hAnsi="宋体" w:eastAsia="宋体" w:cs="宋体"/>
                <w:spacing w:val="-5"/>
              </w:rPr>
              <w:t>。</w:t>
            </w:r>
          </w:p>
          <w:p>
            <w:pPr>
              <w:spacing w:before="1" w:line="274" w:lineRule="auto"/>
              <w:ind w:left="114" w:right="102" w:firstLine="1"/>
              <w:rPr>
                <w:rFonts w:ascii="宋体" w:hAnsi="宋体" w:eastAsia="宋体" w:cs="宋体"/>
                <w:spacing w:val="-5"/>
              </w:rPr>
            </w:pPr>
            <w:r>
              <w:rPr>
                <w:rFonts w:hint="eastAsia" w:ascii="宋体" w:hAnsi="宋体" w:eastAsia="宋体" w:cs="宋体"/>
                <w:spacing w:val="-5"/>
              </w:rPr>
              <w:t>根据投标文件“技术标”中相应内容对比评审，评为“优”得</w:t>
            </w:r>
            <w:r>
              <w:rPr>
                <w:rFonts w:hint="eastAsia" w:ascii="宋体" w:hAnsi="宋体" w:eastAsia="宋体" w:cs="宋体"/>
                <w:spacing w:val="-5"/>
                <w:lang w:val="en-US" w:eastAsia="zh-CN"/>
              </w:rPr>
              <w:t>1</w:t>
            </w:r>
            <w:r>
              <w:rPr>
                <w:rFonts w:hint="eastAsia" w:ascii="宋体" w:hAnsi="宋体" w:eastAsia="宋体" w:cs="宋体"/>
                <w:spacing w:val="-5"/>
              </w:rPr>
              <w:t>分，评为“良”得</w:t>
            </w:r>
            <w:r>
              <w:rPr>
                <w:rFonts w:hint="eastAsia" w:ascii="宋体" w:hAnsi="宋体" w:eastAsia="宋体" w:cs="宋体"/>
                <w:spacing w:val="-5"/>
                <w:lang w:val="en-US" w:eastAsia="zh-CN"/>
              </w:rPr>
              <w:t>0.8</w:t>
            </w:r>
            <w:r>
              <w:rPr>
                <w:rFonts w:hint="eastAsia" w:ascii="宋体" w:hAnsi="宋体" w:eastAsia="宋体" w:cs="宋体"/>
                <w:spacing w:val="-5"/>
              </w:rPr>
              <w:t>分，评为“中”得</w:t>
            </w:r>
            <w:r>
              <w:rPr>
                <w:rFonts w:hint="eastAsia" w:ascii="宋体" w:hAnsi="宋体" w:eastAsia="宋体" w:cs="宋体"/>
                <w:spacing w:val="-5"/>
                <w:lang w:val="en-US" w:eastAsia="zh-CN"/>
              </w:rPr>
              <w:t>0.6</w:t>
            </w:r>
            <w:r>
              <w:rPr>
                <w:rFonts w:hint="eastAsia" w:ascii="宋体" w:hAnsi="宋体" w:eastAsia="宋体" w:cs="宋体"/>
                <w:spacing w:val="-5"/>
              </w:rPr>
              <w:t>分；无此项内容得0分。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082" w:type="dxa"/>
            <w:gridSpan w:val="2"/>
            <w:vMerge w:val="continue"/>
            <w:noWrap w:val="0"/>
            <w:vAlign w:val="center"/>
          </w:tcPr>
          <w:p/>
        </w:tc>
        <w:tc>
          <w:tcPr>
            <w:tcW w:w="1062" w:type="dxa"/>
            <w:vMerge w:val="continue"/>
            <w:noWrap w:val="0"/>
            <w:vAlign w:val="center"/>
          </w:tcPr>
          <w:p>
            <w:pPr>
              <w:rPr>
                <w:rFonts w:ascii="宋体" w:hAnsi="宋体" w:eastAsia="宋体" w:cs="宋体"/>
                <w:spacing w:val="-5"/>
              </w:rPr>
            </w:pPr>
          </w:p>
        </w:tc>
        <w:tc>
          <w:tcPr>
            <w:tcW w:w="2267" w:type="dxa"/>
            <w:noWrap w:val="0"/>
            <w:vAlign w:val="center"/>
          </w:tcPr>
          <w:p>
            <w:pPr>
              <w:spacing w:line="263" w:lineRule="auto"/>
              <w:jc w:val="center"/>
              <w:rPr>
                <w:rFonts w:ascii="宋体" w:hAnsi="宋体" w:eastAsia="宋体" w:cs="宋体"/>
                <w:spacing w:val="-5"/>
              </w:rPr>
            </w:pPr>
            <w:r>
              <w:rPr>
                <w:rFonts w:hint="eastAsia" w:ascii="宋体" w:hAnsi="宋体" w:eastAsia="宋体" w:cs="宋体"/>
                <w:spacing w:val="-5"/>
              </w:rPr>
              <w:t>项目实施组织形式</w:t>
            </w:r>
            <w:r>
              <w:rPr>
                <w:rFonts w:ascii="宋体" w:hAnsi="宋体" w:eastAsia="宋体" w:cs="宋体"/>
                <w:spacing w:val="-5"/>
              </w:rPr>
              <w:t>（</w:t>
            </w:r>
            <w:r>
              <w:rPr>
                <w:rFonts w:hint="eastAsia" w:ascii="宋体" w:hAnsi="宋体" w:eastAsia="宋体" w:cs="宋体"/>
                <w:spacing w:val="-5"/>
              </w:rPr>
              <w:t>1</w:t>
            </w:r>
            <w:r>
              <w:rPr>
                <w:rFonts w:ascii="宋体" w:hAnsi="宋体" w:eastAsia="宋体" w:cs="宋体"/>
                <w:spacing w:val="-5"/>
              </w:rPr>
              <w:t>分）</w:t>
            </w:r>
          </w:p>
        </w:tc>
        <w:tc>
          <w:tcPr>
            <w:tcW w:w="5531" w:type="dxa"/>
            <w:noWrap w:val="0"/>
            <w:vAlign w:val="center"/>
          </w:tcPr>
          <w:p>
            <w:pPr>
              <w:rPr>
                <w:rFonts w:ascii="宋体" w:hAnsi="宋体" w:eastAsia="宋体" w:cs="宋体"/>
                <w:spacing w:val="-5"/>
              </w:rPr>
            </w:pPr>
            <w:r>
              <w:rPr>
                <w:rFonts w:hint="eastAsia" w:ascii="宋体" w:hAnsi="宋体" w:eastAsia="宋体" w:cs="宋体"/>
                <w:spacing w:val="-5"/>
              </w:rPr>
              <w:t>评审内容：项目管理机构设置的合理性</w:t>
            </w:r>
            <w:r>
              <w:rPr>
                <w:rFonts w:ascii="宋体" w:hAnsi="宋体" w:eastAsia="宋体" w:cs="宋体"/>
                <w:spacing w:val="-5"/>
              </w:rPr>
              <w:t>；</w:t>
            </w:r>
            <w:r>
              <w:rPr>
                <w:rFonts w:hint="eastAsia" w:ascii="宋体" w:hAnsi="宋体" w:eastAsia="宋体" w:cs="宋体"/>
                <w:spacing w:val="-5"/>
              </w:rPr>
              <w:t>项目管理程序的顺畅程度及可操作性；项目管理制度健全性。</w:t>
            </w:r>
          </w:p>
          <w:p>
            <w:pPr>
              <w:spacing w:before="1" w:line="274" w:lineRule="auto"/>
              <w:ind w:left="114" w:right="102" w:firstLine="1"/>
              <w:rPr>
                <w:rFonts w:ascii="宋体" w:hAnsi="宋体" w:eastAsia="宋体" w:cs="宋体"/>
                <w:spacing w:val="-5"/>
              </w:rPr>
            </w:pPr>
            <w:r>
              <w:rPr>
                <w:rFonts w:hint="eastAsia" w:ascii="宋体" w:hAnsi="宋体" w:eastAsia="宋体" w:cs="宋体"/>
                <w:spacing w:val="-5"/>
              </w:rPr>
              <w:t>根据投标文件“技术标”中相应内容对比评审，评为“优”得1分，评为“良”得0.8分，评为“中”得0.6分；无此项内容得0分。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082" w:type="dxa"/>
            <w:gridSpan w:val="2"/>
            <w:vMerge w:val="continue"/>
            <w:noWrap w:val="0"/>
            <w:vAlign w:val="center"/>
          </w:tcPr>
          <w:p/>
        </w:tc>
        <w:tc>
          <w:tcPr>
            <w:tcW w:w="1062" w:type="dxa"/>
            <w:vMerge w:val="continue"/>
            <w:noWrap w:val="0"/>
            <w:vAlign w:val="center"/>
          </w:tcPr>
          <w:p>
            <w:pPr>
              <w:rPr>
                <w:rFonts w:ascii="宋体" w:hAnsi="宋体" w:eastAsia="宋体" w:cs="宋体"/>
                <w:spacing w:val="-5"/>
              </w:rPr>
            </w:pPr>
          </w:p>
        </w:tc>
        <w:tc>
          <w:tcPr>
            <w:tcW w:w="2267" w:type="dxa"/>
            <w:noWrap w:val="0"/>
            <w:vAlign w:val="center"/>
          </w:tcPr>
          <w:p>
            <w:pPr>
              <w:spacing w:line="263" w:lineRule="auto"/>
              <w:jc w:val="center"/>
              <w:rPr>
                <w:rFonts w:ascii="宋体" w:hAnsi="宋体" w:eastAsia="宋体" w:cs="宋体"/>
                <w:spacing w:val="-5"/>
              </w:rPr>
            </w:pPr>
            <w:r>
              <w:rPr>
                <w:rFonts w:hint="eastAsia" w:ascii="宋体" w:hAnsi="宋体" w:eastAsia="宋体" w:cs="宋体"/>
                <w:spacing w:val="-5"/>
              </w:rPr>
              <w:t>项目阶段划分、项目工作分解结构、对项目各阶段工作及文件的要求</w:t>
            </w:r>
            <w:r>
              <w:rPr>
                <w:rFonts w:ascii="宋体" w:hAnsi="宋体" w:eastAsia="宋体" w:cs="宋体"/>
                <w:spacing w:val="-5"/>
              </w:rPr>
              <w:t>（</w:t>
            </w:r>
            <w:r>
              <w:rPr>
                <w:rFonts w:hint="eastAsia" w:ascii="宋体" w:hAnsi="宋体" w:eastAsia="宋体" w:cs="宋体"/>
                <w:spacing w:val="-5"/>
                <w:lang w:val="en-US" w:eastAsia="zh-CN"/>
              </w:rPr>
              <w:t>1</w:t>
            </w:r>
            <w:r>
              <w:rPr>
                <w:rFonts w:ascii="宋体" w:hAnsi="宋体" w:eastAsia="宋体" w:cs="宋体"/>
                <w:spacing w:val="-5"/>
              </w:rPr>
              <w:t>分）</w:t>
            </w:r>
          </w:p>
        </w:tc>
        <w:tc>
          <w:tcPr>
            <w:tcW w:w="5531" w:type="dxa"/>
            <w:noWrap w:val="0"/>
            <w:vAlign w:val="center"/>
          </w:tcPr>
          <w:p>
            <w:pPr>
              <w:rPr>
                <w:rFonts w:ascii="宋体" w:hAnsi="宋体" w:eastAsia="宋体" w:cs="宋体"/>
                <w:spacing w:val="-5"/>
              </w:rPr>
            </w:pPr>
            <w:r>
              <w:rPr>
                <w:rFonts w:hint="eastAsia" w:ascii="宋体" w:hAnsi="宋体" w:eastAsia="宋体" w:cs="宋体"/>
                <w:spacing w:val="-5"/>
              </w:rPr>
              <w:t>评审内容：项目阶段划分完整性；工作分解结构（WBS）合理性；对设计和施工阶段工作和文件流程控制合理性。</w:t>
            </w:r>
          </w:p>
          <w:p>
            <w:pPr>
              <w:spacing w:before="1" w:line="274" w:lineRule="auto"/>
              <w:ind w:left="114" w:right="102" w:firstLine="1"/>
              <w:rPr>
                <w:rFonts w:ascii="宋体" w:hAnsi="宋体" w:eastAsia="宋体" w:cs="宋体"/>
                <w:spacing w:val="-5"/>
              </w:rPr>
            </w:pPr>
            <w:r>
              <w:rPr>
                <w:rFonts w:hint="eastAsia" w:ascii="宋体" w:hAnsi="宋体" w:eastAsia="宋体" w:cs="宋体"/>
                <w:spacing w:val="-5"/>
              </w:rPr>
              <w:t>根据投标文件“技术标”中相应内容对比评审，评为“优”得1分，评为“良”得0.8分，评为“中”得0.6分；无此项内容得0分。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082" w:type="dxa"/>
            <w:gridSpan w:val="2"/>
            <w:vMerge w:val="continue"/>
            <w:noWrap w:val="0"/>
            <w:vAlign w:val="center"/>
          </w:tcPr>
          <w:p/>
        </w:tc>
        <w:tc>
          <w:tcPr>
            <w:tcW w:w="1062" w:type="dxa"/>
            <w:vMerge w:val="restart"/>
            <w:noWrap w:val="0"/>
            <w:vAlign w:val="center"/>
          </w:tcPr>
          <w:p>
            <w:pPr>
              <w:ind w:firstLine="33"/>
              <w:jc w:val="center"/>
              <w:rPr>
                <w:rFonts w:ascii="宋体" w:hAnsi="宋体" w:eastAsia="宋体" w:cs="宋体"/>
                <w:spacing w:val="-5"/>
              </w:rPr>
            </w:pPr>
            <w:r>
              <w:rPr>
                <w:rFonts w:hint="eastAsia" w:ascii="宋体" w:hAnsi="宋体" w:eastAsia="宋体" w:cs="宋体"/>
                <w:spacing w:val="-5"/>
              </w:rPr>
              <w:t>项目管理要点</w:t>
            </w:r>
            <w:r>
              <w:rPr>
                <w:rFonts w:ascii="宋体" w:hAnsi="宋体" w:eastAsia="宋体" w:cs="宋体"/>
                <w:spacing w:val="-5"/>
              </w:rPr>
              <w:t>（</w:t>
            </w:r>
            <w:r>
              <w:rPr>
                <w:rFonts w:hint="eastAsia" w:ascii="宋体" w:hAnsi="宋体" w:eastAsia="宋体" w:cs="宋体"/>
                <w:spacing w:val="-5"/>
                <w:lang w:val="en-US" w:eastAsia="zh-CN"/>
              </w:rPr>
              <w:t>8</w:t>
            </w:r>
            <w:r>
              <w:rPr>
                <w:rFonts w:ascii="宋体" w:hAnsi="宋体" w:eastAsia="宋体" w:cs="宋体"/>
                <w:spacing w:val="-5"/>
              </w:rPr>
              <w:t>分）</w:t>
            </w:r>
          </w:p>
        </w:tc>
        <w:tc>
          <w:tcPr>
            <w:tcW w:w="2267" w:type="dxa"/>
            <w:noWrap w:val="0"/>
            <w:vAlign w:val="center"/>
          </w:tcPr>
          <w:p>
            <w:pPr>
              <w:spacing w:line="263" w:lineRule="auto"/>
              <w:jc w:val="center"/>
              <w:rPr>
                <w:rFonts w:ascii="宋体" w:hAnsi="宋体" w:eastAsia="宋体" w:cs="宋体"/>
                <w:spacing w:val="-5"/>
              </w:rPr>
            </w:pPr>
            <w:r>
              <w:rPr>
                <w:rFonts w:hint="eastAsia" w:ascii="宋体" w:hAnsi="宋体" w:eastAsia="宋体" w:cs="宋体"/>
                <w:spacing w:val="-5"/>
              </w:rPr>
              <w:t>合同管理要点、资源管理要点</w:t>
            </w:r>
            <w:r>
              <w:rPr>
                <w:rFonts w:ascii="宋体" w:hAnsi="宋体" w:eastAsia="宋体" w:cs="宋体"/>
                <w:spacing w:val="-5"/>
              </w:rPr>
              <w:t>（</w:t>
            </w:r>
            <w:r>
              <w:rPr>
                <w:rFonts w:hint="eastAsia" w:ascii="宋体" w:hAnsi="宋体" w:eastAsia="宋体" w:cs="宋体"/>
                <w:spacing w:val="-5"/>
                <w:lang w:val="en-US" w:eastAsia="zh-CN"/>
              </w:rPr>
              <w:t>2</w:t>
            </w:r>
            <w:r>
              <w:rPr>
                <w:rFonts w:ascii="宋体" w:hAnsi="宋体" w:eastAsia="宋体" w:cs="宋体"/>
                <w:spacing w:val="-5"/>
              </w:rPr>
              <w:t>分）</w:t>
            </w:r>
          </w:p>
        </w:tc>
        <w:tc>
          <w:tcPr>
            <w:tcW w:w="5531" w:type="dxa"/>
            <w:noWrap w:val="0"/>
            <w:vAlign w:val="center"/>
          </w:tcPr>
          <w:p>
            <w:pPr>
              <w:spacing w:before="1" w:line="274" w:lineRule="auto"/>
              <w:ind w:left="114" w:right="102" w:firstLine="1"/>
              <w:rPr>
                <w:rFonts w:ascii="宋体" w:hAnsi="宋体" w:eastAsia="宋体" w:cs="宋体"/>
                <w:spacing w:val="-5"/>
              </w:rPr>
            </w:pPr>
            <w:r>
              <w:rPr>
                <w:rFonts w:hint="eastAsia" w:ascii="宋体" w:hAnsi="宋体" w:eastAsia="宋体" w:cs="宋体"/>
                <w:spacing w:val="-5"/>
              </w:rPr>
              <w:t>评审内容：商务合同管理规范到位；人力资源、主材、主要机械和设备等配置合理可行。根据投标文件“技术标”中相应内容对比评审，评为“优”得</w:t>
            </w:r>
            <w:r>
              <w:rPr>
                <w:rFonts w:hint="eastAsia" w:ascii="宋体" w:hAnsi="宋体" w:eastAsia="宋体" w:cs="宋体"/>
                <w:spacing w:val="-5"/>
                <w:lang w:val="en-US" w:eastAsia="zh-CN"/>
              </w:rPr>
              <w:t>2</w:t>
            </w:r>
            <w:r>
              <w:rPr>
                <w:rFonts w:hint="eastAsia" w:ascii="宋体" w:hAnsi="宋体" w:eastAsia="宋体" w:cs="宋体"/>
                <w:spacing w:val="-5"/>
              </w:rPr>
              <w:t>分，评为“良”得</w:t>
            </w:r>
            <w:r>
              <w:rPr>
                <w:rFonts w:hint="eastAsia" w:ascii="宋体" w:hAnsi="宋体" w:eastAsia="宋体" w:cs="宋体"/>
                <w:spacing w:val="-5"/>
                <w:lang w:val="en-US" w:eastAsia="zh-CN"/>
              </w:rPr>
              <w:t>1</w:t>
            </w:r>
            <w:r>
              <w:rPr>
                <w:rFonts w:ascii="宋体" w:hAnsi="宋体" w:eastAsia="宋体" w:cs="宋体"/>
                <w:spacing w:val="-5"/>
              </w:rPr>
              <w:t>.</w:t>
            </w:r>
            <w:r>
              <w:rPr>
                <w:rFonts w:hint="eastAsia" w:ascii="宋体" w:hAnsi="宋体" w:eastAsia="宋体" w:cs="宋体"/>
                <w:spacing w:val="-5"/>
                <w:lang w:val="en-US" w:eastAsia="zh-CN"/>
              </w:rPr>
              <w:t>6</w:t>
            </w:r>
            <w:r>
              <w:rPr>
                <w:rFonts w:hint="eastAsia" w:ascii="宋体" w:hAnsi="宋体" w:eastAsia="宋体" w:cs="宋体"/>
                <w:spacing w:val="-5"/>
              </w:rPr>
              <w:t>分，评为“中”得</w:t>
            </w:r>
            <w:r>
              <w:rPr>
                <w:rFonts w:ascii="宋体" w:hAnsi="宋体" w:eastAsia="宋体" w:cs="宋体"/>
                <w:spacing w:val="-5"/>
              </w:rPr>
              <w:t>1.</w:t>
            </w:r>
            <w:r>
              <w:rPr>
                <w:rFonts w:hint="eastAsia" w:ascii="宋体" w:hAnsi="宋体" w:eastAsia="宋体" w:cs="宋体"/>
                <w:spacing w:val="-5"/>
                <w:lang w:val="en-US" w:eastAsia="zh-CN"/>
              </w:rPr>
              <w:t>2</w:t>
            </w:r>
            <w:r>
              <w:rPr>
                <w:rFonts w:hint="eastAsia" w:ascii="宋体" w:hAnsi="宋体" w:eastAsia="宋体" w:cs="宋体"/>
                <w:spacing w:val="-5"/>
              </w:rPr>
              <w:t>分；无此项内容得0分。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082" w:type="dxa"/>
            <w:gridSpan w:val="2"/>
            <w:vMerge w:val="continue"/>
            <w:noWrap w:val="0"/>
            <w:vAlign w:val="center"/>
          </w:tcPr>
          <w:p/>
        </w:tc>
        <w:tc>
          <w:tcPr>
            <w:tcW w:w="1062" w:type="dxa"/>
            <w:vMerge w:val="continue"/>
            <w:noWrap w:val="0"/>
            <w:vAlign w:val="center"/>
          </w:tcPr>
          <w:p>
            <w:pPr>
              <w:rPr>
                <w:rFonts w:ascii="宋体" w:hAnsi="宋体" w:eastAsia="宋体" w:cs="宋体"/>
                <w:spacing w:val="-5"/>
              </w:rPr>
            </w:pPr>
          </w:p>
        </w:tc>
        <w:tc>
          <w:tcPr>
            <w:tcW w:w="2267" w:type="dxa"/>
            <w:noWrap w:val="0"/>
            <w:vAlign w:val="center"/>
          </w:tcPr>
          <w:p>
            <w:pPr>
              <w:spacing w:line="263" w:lineRule="auto"/>
              <w:jc w:val="center"/>
              <w:rPr>
                <w:rFonts w:ascii="宋体" w:hAnsi="宋体" w:eastAsia="宋体" w:cs="宋体"/>
                <w:spacing w:val="-5"/>
              </w:rPr>
            </w:pPr>
            <w:r>
              <w:rPr>
                <w:rFonts w:hint="eastAsia" w:ascii="宋体" w:hAnsi="宋体" w:eastAsia="宋体" w:cs="宋体"/>
                <w:spacing w:val="-5"/>
              </w:rPr>
              <w:t>质量、进度、费用估算控制要点</w:t>
            </w:r>
            <w:r>
              <w:rPr>
                <w:rFonts w:ascii="宋体" w:hAnsi="宋体" w:eastAsia="宋体" w:cs="宋体"/>
                <w:spacing w:val="-5"/>
              </w:rPr>
              <w:t>（</w:t>
            </w:r>
            <w:r>
              <w:rPr>
                <w:rFonts w:hint="eastAsia" w:ascii="宋体" w:hAnsi="宋体" w:eastAsia="宋体" w:cs="宋体"/>
                <w:spacing w:val="-5"/>
                <w:lang w:val="en-US" w:eastAsia="zh-CN"/>
              </w:rPr>
              <w:t>2</w:t>
            </w:r>
            <w:r>
              <w:rPr>
                <w:rFonts w:ascii="宋体" w:hAnsi="宋体" w:eastAsia="宋体" w:cs="宋体"/>
                <w:spacing w:val="-5"/>
              </w:rPr>
              <w:t>分）</w:t>
            </w:r>
          </w:p>
        </w:tc>
        <w:tc>
          <w:tcPr>
            <w:tcW w:w="5531" w:type="dxa"/>
            <w:noWrap w:val="0"/>
            <w:vAlign w:val="center"/>
          </w:tcPr>
          <w:p>
            <w:pPr>
              <w:spacing w:before="1" w:line="274" w:lineRule="auto"/>
              <w:ind w:left="114" w:right="102" w:firstLine="1"/>
              <w:rPr>
                <w:rFonts w:ascii="宋体" w:hAnsi="宋体" w:eastAsia="宋体" w:cs="宋体"/>
                <w:spacing w:val="-5"/>
              </w:rPr>
            </w:pPr>
            <w:r>
              <w:rPr>
                <w:rFonts w:hint="eastAsia" w:ascii="宋体" w:hAnsi="宋体" w:eastAsia="宋体" w:cs="宋体"/>
                <w:spacing w:val="-5"/>
              </w:rPr>
              <w:t>评审内容：质量、进度、费用控制合理，控制措施可操作性。根据投标文件“技术标”中相应内容对比评审，视优劣程度酌情打分，评为“优”得</w:t>
            </w:r>
            <w:r>
              <w:rPr>
                <w:rFonts w:hint="eastAsia" w:ascii="宋体" w:hAnsi="宋体" w:eastAsia="宋体" w:cs="宋体"/>
                <w:spacing w:val="-5"/>
                <w:lang w:val="en-US" w:eastAsia="zh-CN"/>
              </w:rPr>
              <w:t>2</w:t>
            </w:r>
            <w:r>
              <w:rPr>
                <w:rFonts w:hint="eastAsia" w:ascii="宋体" w:hAnsi="宋体" w:eastAsia="宋体" w:cs="宋体"/>
                <w:spacing w:val="-5"/>
              </w:rPr>
              <w:t>分，评为“良”得</w:t>
            </w:r>
            <w:r>
              <w:rPr>
                <w:rFonts w:hint="eastAsia" w:ascii="宋体" w:hAnsi="宋体" w:eastAsia="宋体" w:cs="宋体"/>
                <w:spacing w:val="-5"/>
                <w:lang w:val="en-US" w:eastAsia="zh-CN"/>
              </w:rPr>
              <w:t>1.6</w:t>
            </w:r>
            <w:r>
              <w:rPr>
                <w:rFonts w:hint="eastAsia" w:ascii="宋体" w:hAnsi="宋体" w:eastAsia="宋体" w:cs="宋体"/>
                <w:spacing w:val="-5"/>
              </w:rPr>
              <w:t>分，评为“中”得1.</w:t>
            </w:r>
            <w:r>
              <w:rPr>
                <w:rFonts w:hint="eastAsia" w:ascii="宋体" w:hAnsi="宋体" w:eastAsia="宋体" w:cs="宋体"/>
                <w:spacing w:val="-5"/>
                <w:lang w:val="en-US" w:eastAsia="zh-CN"/>
              </w:rPr>
              <w:t>2</w:t>
            </w:r>
            <w:r>
              <w:rPr>
                <w:rFonts w:hint="eastAsia" w:ascii="宋体" w:hAnsi="宋体" w:eastAsia="宋体" w:cs="宋体"/>
                <w:spacing w:val="-5"/>
              </w:rPr>
              <w:t>分；无此项内容得0分。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082" w:type="dxa"/>
            <w:gridSpan w:val="2"/>
            <w:vMerge w:val="continue"/>
            <w:noWrap w:val="0"/>
            <w:vAlign w:val="center"/>
          </w:tcPr>
          <w:p/>
        </w:tc>
        <w:tc>
          <w:tcPr>
            <w:tcW w:w="1062" w:type="dxa"/>
            <w:vMerge w:val="continue"/>
            <w:noWrap w:val="0"/>
            <w:vAlign w:val="center"/>
          </w:tcPr>
          <w:p>
            <w:pPr>
              <w:rPr>
                <w:rFonts w:ascii="宋体" w:hAnsi="宋体" w:eastAsia="宋体" w:cs="宋体"/>
                <w:spacing w:val="-5"/>
              </w:rPr>
            </w:pPr>
          </w:p>
        </w:tc>
        <w:tc>
          <w:tcPr>
            <w:tcW w:w="2267" w:type="dxa"/>
            <w:noWrap w:val="0"/>
            <w:vAlign w:val="center"/>
          </w:tcPr>
          <w:p>
            <w:pPr>
              <w:spacing w:line="263" w:lineRule="auto"/>
              <w:jc w:val="center"/>
              <w:rPr>
                <w:rFonts w:ascii="宋体" w:hAnsi="宋体" w:eastAsia="宋体" w:cs="宋体"/>
                <w:spacing w:val="-5"/>
              </w:rPr>
            </w:pPr>
            <w:r>
              <w:rPr>
                <w:rFonts w:hint="eastAsia" w:ascii="宋体" w:hAnsi="宋体" w:eastAsia="宋体" w:cs="宋体"/>
                <w:spacing w:val="-5"/>
              </w:rPr>
              <w:t>安全、职业健康、环境管理要点</w:t>
            </w:r>
            <w:r>
              <w:rPr>
                <w:rFonts w:ascii="宋体" w:hAnsi="宋体" w:eastAsia="宋体" w:cs="宋体"/>
                <w:spacing w:val="-5"/>
              </w:rPr>
              <w:t>（</w:t>
            </w:r>
            <w:r>
              <w:rPr>
                <w:rFonts w:hint="eastAsia" w:ascii="宋体" w:hAnsi="宋体" w:eastAsia="宋体" w:cs="宋体"/>
                <w:spacing w:val="-5"/>
                <w:lang w:val="en-US" w:eastAsia="zh-CN"/>
              </w:rPr>
              <w:t>2</w:t>
            </w:r>
            <w:r>
              <w:rPr>
                <w:rFonts w:ascii="宋体" w:hAnsi="宋体" w:eastAsia="宋体" w:cs="宋体"/>
                <w:spacing w:val="-5"/>
              </w:rPr>
              <w:t>分）</w:t>
            </w:r>
          </w:p>
        </w:tc>
        <w:tc>
          <w:tcPr>
            <w:tcW w:w="5531" w:type="dxa"/>
            <w:noWrap w:val="0"/>
            <w:vAlign w:val="center"/>
          </w:tcPr>
          <w:p>
            <w:pPr>
              <w:spacing w:before="1" w:line="274" w:lineRule="auto"/>
              <w:ind w:left="114" w:right="102" w:firstLine="1"/>
              <w:rPr>
                <w:rFonts w:ascii="宋体" w:hAnsi="宋体" w:eastAsia="宋体" w:cs="宋体"/>
                <w:spacing w:val="-5"/>
              </w:rPr>
            </w:pPr>
            <w:r>
              <w:rPr>
                <w:rFonts w:hint="eastAsia" w:ascii="宋体" w:hAnsi="宋体" w:eastAsia="宋体" w:cs="宋体"/>
                <w:spacing w:val="-5"/>
              </w:rPr>
              <w:t>评审内容：职、安、健管理到位，体系健全，措施可操作性。根据投标文件“技术标”中相应内容对比评审，评为“优”得</w:t>
            </w:r>
            <w:r>
              <w:rPr>
                <w:rFonts w:hint="eastAsia" w:ascii="宋体" w:hAnsi="宋体" w:eastAsia="宋体" w:cs="宋体"/>
                <w:spacing w:val="-5"/>
                <w:lang w:val="en-US" w:eastAsia="zh-CN"/>
              </w:rPr>
              <w:t>2</w:t>
            </w:r>
            <w:r>
              <w:rPr>
                <w:rFonts w:hint="eastAsia" w:ascii="宋体" w:hAnsi="宋体" w:eastAsia="宋体" w:cs="宋体"/>
                <w:spacing w:val="-5"/>
              </w:rPr>
              <w:t>分，评为“良”得</w:t>
            </w:r>
            <w:r>
              <w:rPr>
                <w:rFonts w:hint="eastAsia" w:ascii="宋体" w:hAnsi="宋体" w:eastAsia="宋体" w:cs="宋体"/>
                <w:spacing w:val="-5"/>
                <w:lang w:val="en-US" w:eastAsia="zh-CN"/>
              </w:rPr>
              <w:t>1.6</w:t>
            </w:r>
            <w:r>
              <w:rPr>
                <w:rFonts w:hint="eastAsia" w:ascii="宋体" w:hAnsi="宋体" w:eastAsia="宋体" w:cs="宋体"/>
                <w:spacing w:val="-5"/>
              </w:rPr>
              <w:t>分，评为“中”得1.</w:t>
            </w:r>
            <w:r>
              <w:rPr>
                <w:rFonts w:hint="eastAsia" w:ascii="宋体" w:hAnsi="宋体" w:eastAsia="宋体" w:cs="宋体"/>
                <w:spacing w:val="-5"/>
                <w:lang w:val="en-US" w:eastAsia="zh-CN"/>
              </w:rPr>
              <w:t>2</w:t>
            </w:r>
            <w:r>
              <w:rPr>
                <w:rFonts w:hint="eastAsia" w:ascii="宋体" w:hAnsi="宋体" w:eastAsia="宋体" w:cs="宋体"/>
                <w:spacing w:val="-5"/>
              </w:rPr>
              <w:t>分；无此项内容得0分。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082" w:type="dxa"/>
            <w:gridSpan w:val="2"/>
            <w:vMerge w:val="continue"/>
            <w:noWrap w:val="0"/>
            <w:vAlign w:val="center"/>
          </w:tcPr>
          <w:p/>
        </w:tc>
        <w:tc>
          <w:tcPr>
            <w:tcW w:w="1062" w:type="dxa"/>
            <w:vMerge w:val="continue"/>
            <w:noWrap w:val="0"/>
            <w:vAlign w:val="center"/>
          </w:tcPr>
          <w:p>
            <w:pPr>
              <w:rPr>
                <w:rFonts w:ascii="宋体" w:hAnsi="宋体" w:eastAsia="宋体" w:cs="宋体"/>
                <w:spacing w:val="-5"/>
              </w:rPr>
            </w:pPr>
          </w:p>
        </w:tc>
        <w:tc>
          <w:tcPr>
            <w:tcW w:w="2267" w:type="dxa"/>
            <w:noWrap w:val="0"/>
            <w:vAlign w:val="center"/>
          </w:tcPr>
          <w:p>
            <w:pPr>
              <w:spacing w:line="263" w:lineRule="auto"/>
              <w:jc w:val="center"/>
              <w:rPr>
                <w:rFonts w:ascii="宋体" w:hAnsi="宋体" w:eastAsia="宋体" w:cs="宋体"/>
                <w:spacing w:val="-5"/>
              </w:rPr>
            </w:pPr>
            <w:r>
              <w:rPr>
                <w:rFonts w:hint="eastAsia" w:ascii="宋体" w:hAnsi="宋体" w:eastAsia="宋体" w:cs="宋体"/>
                <w:spacing w:val="-5"/>
              </w:rPr>
              <w:t>沟通和协调、财务、风险、文件及信息管理要点、报告制度</w:t>
            </w:r>
            <w:r>
              <w:rPr>
                <w:rFonts w:ascii="宋体" w:hAnsi="宋体" w:eastAsia="宋体" w:cs="宋体"/>
                <w:spacing w:val="-5"/>
              </w:rPr>
              <w:t>（</w:t>
            </w:r>
            <w:r>
              <w:rPr>
                <w:rFonts w:hint="eastAsia" w:ascii="宋体" w:hAnsi="宋体" w:eastAsia="宋体" w:cs="宋体"/>
                <w:spacing w:val="-5"/>
                <w:lang w:val="en-US" w:eastAsia="zh-CN"/>
              </w:rPr>
              <w:t>2</w:t>
            </w:r>
            <w:r>
              <w:rPr>
                <w:rFonts w:ascii="宋体" w:hAnsi="宋体" w:eastAsia="宋体" w:cs="宋体"/>
                <w:spacing w:val="-5"/>
              </w:rPr>
              <w:t>分）</w:t>
            </w:r>
          </w:p>
        </w:tc>
        <w:tc>
          <w:tcPr>
            <w:tcW w:w="5531" w:type="dxa"/>
            <w:noWrap w:val="0"/>
            <w:vAlign w:val="center"/>
          </w:tcPr>
          <w:p>
            <w:pPr>
              <w:spacing w:before="1" w:line="274" w:lineRule="auto"/>
              <w:ind w:left="114" w:right="102" w:firstLine="1"/>
              <w:rPr>
                <w:rFonts w:ascii="宋体" w:hAnsi="宋体" w:eastAsia="宋体" w:cs="宋体"/>
                <w:spacing w:val="-5"/>
              </w:rPr>
            </w:pPr>
            <w:r>
              <w:rPr>
                <w:rFonts w:hint="eastAsia" w:ascii="宋体" w:hAnsi="宋体" w:eastAsia="宋体" w:cs="宋体"/>
                <w:spacing w:val="-5"/>
              </w:rPr>
              <w:t>评审内容：财务、风险、沟通协调管理到位、措施合理、文件信息管理规范、报告制度健全合理。根据投标文件“技术标”中相应内容对比评审，视优劣程度酌情打分，评为“优”得</w:t>
            </w:r>
            <w:r>
              <w:rPr>
                <w:rFonts w:hint="eastAsia" w:ascii="宋体" w:hAnsi="宋体" w:eastAsia="宋体" w:cs="宋体"/>
                <w:spacing w:val="-5"/>
                <w:lang w:val="en-US" w:eastAsia="zh-CN"/>
              </w:rPr>
              <w:t>2</w:t>
            </w:r>
            <w:r>
              <w:rPr>
                <w:rFonts w:hint="eastAsia" w:ascii="宋体" w:hAnsi="宋体" w:eastAsia="宋体" w:cs="宋体"/>
                <w:spacing w:val="-5"/>
              </w:rPr>
              <w:t>分，评为“良”得</w:t>
            </w:r>
            <w:r>
              <w:rPr>
                <w:rFonts w:hint="eastAsia" w:ascii="宋体" w:hAnsi="宋体" w:eastAsia="宋体" w:cs="宋体"/>
                <w:spacing w:val="-5"/>
                <w:lang w:val="en-US" w:eastAsia="zh-CN"/>
              </w:rPr>
              <w:t>1.6</w:t>
            </w:r>
            <w:r>
              <w:rPr>
                <w:rFonts w:hint="eastAsia" w:ascii="宋体" w:hAnsi="宋体" w:eastAsia="宋体" w:cs="宋体"/>
                <w:spacing w:val="-5"/>
              </w:rPr>
              <w:t>分，评为“中”得1.</w:t>
            </w:r>
            <w:r>
              <w:rPr>
                <w:rFonts w:hint="eastAsia" w:ascii="宋体" w:hAnsi="宋体" w:eastAsia="宋体" w:cs="宋体"/>
                <w:spacing w:val="-5"/>
                <w:lang w:val="en-US" w:eastAsia="zh-CN"/>
              </w:rPr>
              <w:t>2</w:t>
            </w:r>
            <w:r>
              <w:rPr>
                <w:rFonts w:hint="eastAsia" w:ascii="宋体" w:hAnsi="宋体" w:eastAsia="宋体" w:cs="宋体"/>
                <w:spacing w:val="-5"/>
              </w:rPr>
              <w:t>分；无此项内容得0分。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082" w:type="dxa"/>
            <w:gridSpan w:val="2"/>
            <w:vMerge w:val="continue"/>
            <w:noWrap w:val="0"/>
            <w:vAlign w:val="center"/>
          </w:tcPr>
          <w:p/>
        </w:tc>
        <w:tc>
          <w:tcPr>
            <w:tcW w:w="1062" w:type="dxa"/>
            <w:vMerge w:val="restart"/>
            <w:noWrap w:val="0"/>
            <w:vAlign w:val="center"/>
          </w:tcPr>
          <w:p>
            <w:pPr>
              <w:rPr>
                <w:rFonts w:ascii="宋体" w:hAnsi="宋体" w:eastAsia="宋体" w:cs="宋体"/>
                <w:spacing w:val="-5"/>
              </w:rPr>
            </w:pPr>
            <w:r>
              <w:rPr>
                <w:rFonts w:hint="eastAsia" w:ascii="宋体" w:hAnsi="宋体" w:eastAsia="宋体" w:cs="宋体"/>
                <w:spacing w:val="-5"/>
              </w:rPr>
              <w:t>勘察设计方案</w:t>
            </w:r>
            <w:r>
              <w:rPr>
                <w:rFonts w:hint="eastAsia" w:ascii="宋体" w:hAnsi="宋体" w:eastAsia="宋体" w:cs="宋体"/>
                <w:spacing w:val="-5"/>
                <w:lang w:eastAsia="zh-CN"/>
              </w:rPr>
              <w:t>（</w:t>
            </w:r>
            <w:r>
              <w:rPr>
                <w:rFonts w:hint="eastAsia" w:ascii="宋体" w:hAnsi="宋体" w:eastAsia="宋体" w:cs="宋体"/>
                <w:spacing w:val="-5"/>
                <w:lang w:val="en-US" w:eastAsia="zh-CN"/>
              </w:rPr>
              <w:t>20</w:t>
            </w:r>
            <w:r>
              <w:rPr>
                <w:rFonts w:ascii="宋体" w:hAnsi="宋体" w:eastAsia="宋体" w:cs="宋体"/>
                <w:spacing w:val="-5"/>
              </w:rPr>
              <w:t>分）</w:t>
            </w:r>
          </w:p>
        </w:tc>
        <w:tc>
          <w:tcPr>
            <w:tcW w:w="2267" w:type="dxa"/>
            <w:noWrap w:val="0"/>
            <w:vAlign w:val="center"/>
          </w:tcPr>
          <w:p>
            <w:pPr>
              <w:spacing w:line="263" w:lineRule="auto"/>
              <w:jc w:val="center"/>
              <w:rPr>
                <w:rFonts w:hint="eastAsia" w:ascii="宋体" w:hAnsi="宋体" w:eastAsia="宋体" w:cs="宋体"/>
                <w:spacing w:val="-5"/>
                <w:lang w:eastAsia="zh-CN"/>
              </w:rPr>
            </w:pPr>
            <w:r>
              <w:rPr>
                <w:rFonts w:hint="eastAsia" w:ascii="宋体" w:hAnsi="宋体" w:eastAsia="宋体" w:cs="宋体"/>
                <w:spacing w:val="-5"/>
                <w:lang w:eastAsia="zh-CN"/>
              </w:rPr>
              <w:t>现状调查与分析</w:t>
            </w:r>
            <w:r>
              <w:rPr>
                <w:rFonts w:ascii="宋体" w:hAnsi="宋体" w:eastAsia="宋体" w:cs="宋体"/>
                <w:spacing w:val="-5"/>
              </w:rPr>
              <w:t>（5分）</w:t>
            </w:r>
          </w:p>
        </w:tc>
        <w:tc>
          <w:tcPr>
            <w:tcW w:w="5531" w:type="dxa"/>
            <w:noWrap w:val="0"/>
            <w:vAlign w:val="center"/>
          </w:tcPr>
          <w:p>
            <w:pPr>
              <w:spacing w:before="1" w:line="274" w:lineRule="auto"/>
              <w:ind w:left="114" w:right="102" w:firstLine="1"/>
              <w:rPr>
                <w:rFonts w:hint="eastAsia" w:ascii="宋体" w:hAnsi="宋体" w:eastAsia="宋体" w:cs="宋体"/>
                <w:spacing w:val="-5"/>
                <w:lang w:eastAsia="zh-CN"/>
              </w:rPr>
            </w:pPr>
            <w:r>
              <w:rPr>
                <w:rFonts w:hint="eastAsia" w:ascii="宋体" w:hAnsi="宋体" w:eastAsia="宋体" w:cs="宋体"/>
                <w:spacing w:val="-5"/>
                <w:lang w:eastAsia="zh-CN"/>
              </w:rPr>
              <w:t>评审内容：对治理河段流域现状进行调查和分析评价。主要包括：水系现状、</w:t>
            </w:r>
            <w:r>
              <w:rPr>
                <w:rFonts w:hint="eastAsia" w:ascii="宋体" w:hAnsi="宋体" w:eastAsia="宋体" w:cs="宋体"/>
                <w:spacing w:val="-5"/>
                <w:lang w:val="en-US" w:eastAsia="zh-CN"/>
              </w:rPr>
              <w:t>污染情况</w:t>
            </w:r>
            <w:r>
              <w:rPr>
                <w:rFonts w:hint="eastAsia" w:ascii="宋体" w:hAnsi="宋体" w:eastAsia="宋体" w:cs="宋体"/>
                <w:spacing w:val="-5"/>
                <w:lang w:eastAsia="zh-CN"/>
              </w:rPr>
              <w:t>、</w:t>
            </w:r>
            <w:r>
              <w:rPr>
                <w:rFonts w:hint="eastAsia" w:ascii="宋体" w:hAnsi="宋体" w:eastAsia="宋体" w:cs="宋体"/>
                <w:spacing w:val="-5"/>
                <w:lang w:val="en-US" w:eastAsia="zh-CN"/>
              </w:rPr>
              <w:t>水质、污染源</w:t>
            </w:r>
            <w:r>
              <w:rPr>
                <w:rFonts w:hint="eastAsia" w:ascii="宋体" w:hAnsi="宋体" w:eastAsia="宋体" w:cs="宋体"/>
                <w:spacing w:val="-5"/>
                <w:lang w:eastAsia="zh-CN"/>
              </w:rPr>
              <w:t>调查</w:t>
            </w:r>
            <w:r>
              <w:rPr>
                <w:rFonts w:hint="eastAsia" w:ascii="宋体" w:hAnsi="宋体" w:eastAsia="宋体" w:cs="宋体"/>
                <w:spacing w:val="-5"/>
                <w:lang w:val="en-US" w:eastAsia="zh-CN"/>
              </w:rPr>
              <w:t>及</w:t>
            </w:r>
            <w:r>
              <w:rPr>
                <w:rFonts w:hint="eastAsia" w:ascii="宋体" w:hAnsi="宋体" w:eastAsia="宋体" w:cs="宋体"/>
                <w:spacing w:val="-5"/>
                <w:lang w:eastAsia="zh-CN"/>
              </w:rPr>
              <w:t>污染源解析、污染源现状、水系沿线排污口调查等。分析问题有针对性，研判准确。</w:t>
            </w:r>
            <w:r>
              <w:rPr>
                <w:rFonts w:hint="eastAsia" w:ascii="宋体" w:hAnsi="宋体" w:eastAsia="宋体" w:cs="宋体"/>
                <w:spacing w:val="-5"/>
              </w:rPr>
              <w:t>评为“优”得</w:t>
            </w:r>
            <w:r>
              <w:rPr>
                <w:rFonts w:ascii="宋体" w:hAnsi="宋体" w:eastAsia="宋体" w:cs="宋体"/>
                <w:spacing w:val="-5"/>
              </w:rPr>
              <w:t>5</w:t>
            </w:r>
            <w:r>
              <w:rPr>
                <w:rFonts w:hint="eastAsia" w:ascii="宋体" w:hAnsi="宋体" w:eastAsia="宋体" w:cs="宋体"/>
                <w:spacing w:val="-5"/>
              </w:rPr>
              <w:t>分，评为“良”得</w:t>
            </w:r>
            <w:r>
              <w:rPr>
                <w:rFonts w:ascii="宋体" w:hAnsi="宋体" w:eastAsia="宋体" w:cs="宋体"/>
                <w:spacing w:val="-5"/>
              </w:rPr>
              <w:t>4</w:t>
            </w:r>
            <w:r>
              <w:rPr>
                <w:rFonts w:hint="eastAsia" w:ascii="宋体" w:hAnsi="宋体" w:eastAsia="宋体" w:cs="宋体"/>
                <w:spacing w:val="-5"/>
              </w:rPr>
              <w:t>分，评为“中”得</w:t>
            </w:r>
            <w:r>
              <w:rPr>
                <w:rFonts w:ascii="宋体" w:hAnsi="宋体" w:eastAsia="宋体" w:cs="宋体"/>
                <w:spacing w:val="-5"/>
              </w:rPr>
              <w:t>3</w:t>
            </w:r>
            <w:r>
              <w:rPr>
                <w:rFonts w:hint="eastAsia" w:ascii="宋体" w:hAnsi="宋体" w:eastAsia="宋体" w:cs="宋体"/>
                <w:spacing w:val="-5"/>
              </w:rPr>
              <w:t>分；无此项内容得0分。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082" w:type="dxa"/>
            <w:gridSpan w:val="2"/>
            <w:vMerge w:val="continue"/>
            <w:noWrap w:val="0"/>
            <w:vAlign w:val="center"/>
          </w:tcPr>
          <w:p/>
        </w:tc>
        <w:tc>
          <w:tcPr>
            <w:tcW w:w="1062" w:type="dxa"/>
            <w:vMerge w:val="continue"/>
            <w:noWrap w:val="0"/>
            <w:vAlign w:val="center"/>
          </w:tcPr>
          <w:p>
            <w:pPr>
              <w:rPr>
                <w:rFonts w:hint="eastAsia" w:ascii="宋体" w:hAnsi="宋体" w:eastAsia="宋体" w:cs="宋体"/>
                <w:spacing w:val="-5"/>
              </w:rPr>
            </w:pPr>
          </w:p>
        </w:tc>
        <w:tc>
          <w:tcPr>
            <w:tcW w:w="2267" w:type="dxa"/>
            <w:noWrap w:val="0"/>
            <w:vAlign w:val="center"/>
          </w:tcPr>
          <w:p>
            <w:pPr>
              <w:spacing w:line="263" w:lineRule="auto"/>
              <w:jc w:val="center"/>
              <w:rPr>
                <w:rFonts w:hint="eastAsia" w:ascii="宋体" w:hAnsi="宋体" w:eastAsia="宋体" w:cs="宋体"/>
                <w:spacing w:val="-5"/>
              </w:rPr>
            </w:pPr>
            <w:r>
              <w:rPr>
                <w:rFonts w:hint="eastAsia" w:ascii="宋体" w:hAnsi="宋体" w:eastAsia="宋体" w:cs="宋体"/>
                <w:spacing w:val="-5"/>
              </w:rPr>
              <w:t>对前期设计成果的研究分析和理解</w:t>
            </w:r>
            <w:r>
              <w:rPr>
                <w:rFonts w:hint="eastAsia" w:ascii="宋体" w:hAnsi="宋体" w:eastAsia="宋体" w:cs="宋体"/>
                <w:spacing w:val="-5"/>
                <w:lang w:eastAsia="zh-CN"/>
              </w:rPr>
              <w:t>，对</w:t>
            </w:r>
            <w:r>
              <w:rPr>
                <w:rFonts w:hint="eastAsia" w:ascii="宋体" w:hAnsi="宋体" w:eastAsia="宋体" w:cs="宋体"/>
                <w:spacing w:val="-5"/>
              </w:rPr>
              <w:t>后续勘察设计提出重点、难点分析</w:t>
            </w:r>
          </w:p>
          <w:p>
            <w:pPr>
              <w:spacing w:line="263" w:lineRule="auto"/>
              <w:jc w:val="center"/>
              <w:rPr>
                <w:rFonts w:hint="eastAsia" w:ascii="宋体" w:hAnsi="宋体" w:eastAsia="宋体" w:cs="宋体"/>
                <w:spacing w:val="-5"/>
                <w:kern w:val="2"/>
                <w:sz w:val="21"/>
                <w:szCs w:val="22"/>
                <w:lang w:val="en-US" w:eastAsia="zh-CN" w:bidi="ar-SA"/>
              </w:rPr>
            </w:pPr>
            <w:r>
              <w:rPr>
                <w:rFonts w:ascii="宋体" w:hAnsi="宋体" w:eastAsia="宋体" w:cs="宋体"/>
                <w:spacing w:val="-5"/>
              </w:rPr>
              <w:t>（</w:t>
            </w:r>
            <w:r>
              <w:rPr>
                <w:rFonts w:hint="eastAsia" w:ascii="宋体" w:hAnsi="宋体" w:eastAsia="宋体" w:cs="宋体"/>
                <w:spacing w:val="-5"/>
                <w:lang w:val="en-US" w:eastAsia="zh-CN"/>
              </w:rPr>
              <w:t>5</w:t>
            </w:r>
            <w:r>
              <w:rPr>
                <w:rFonts w:ascii="宋体" w:hAnsi="宋体" w:eastAsia="宋体" w:cs="宋体"/>
                <w:spacing w:val="-5"/>
              </w:rPr>
              <w:t>分）</w:t>
            </w:r>
          </w:p>
        </w:tc>
        <w:tc>
          <w:tcPr>
            <w:tcW w:w="5531" w:type="dxa"/>
            <w:noWrap w:val="0"/>
            <w:vAlign w:val="center"/>
          </w:tcPr>
          <w:p>
            <w:pPr>
              <w:rPr>
                <w:rFonts w:hint="eastAsia" w:ascii="宋体" w:hAnsi="宋体" w:eastAsia="宋体" w:cs="宋体"/>
                <w:spacing w:val="-5"/>
                <w:kern w:val="2"/>
                <w:sz w:val="21"/>
                <w:szCs w:val="22"/>
                <w:lang w:val="en-US" w:eastAsia="zh-CN" w:bidi="ar-SA"/>
              </w:rPr>
            </w:pPr>
            <w:r>
              <w:rPr>
                <w:rFonts w:hint="eastAsia" w:ascii="宋体" w:hAnsi="宋体" w:eastAsia="宋体" w:cs="宋体"/>
                <w:spacing w:val="-5"/>
              </w:rPr>
              <w:t>评审内容：对前期设计成果的分析、研究和理解</w:t>
            </w:r>
            <w:r>
              <w:rPr>
                <w:rFonts w:hint="eastAsia" w:ascii="宋体" w:hAnsi="宋体" w:eastAsia="宋体" w:cs="宋体"/>
                <w:spacing w:val="-5"/>
                <w:lang w:eastAsia="zh-CN"/>
              </w:rPr>
              <w:t>；对</w:t>
            </w:r>
            <w:r>
              <w:rPr>
                <w:rFonts w:hint="eastAsia" w:ascii="宋体" w:hAnsi="宋体" w:eastAsia="宋体" w:cs="宋体"/>
                <w:spacing w:val="-5"/>
              </w:rPr>
              <w:t>下阶段勘察设计重点难点分析的全面性，</w:t>
            </w:r>
            <w:r>
              <w:rPr>
                <w:rFonts w:hint="eastAsia" w:ascii="宋体" w:hAnsi="宋体" w:eastAsia="宋体" w:cs="宋体"/>
                <w:spacing w:val="-5"/>
                <w:highlight w:val="none"/>
              </w:rPr>
              <w:t>根据详细程度</w:t>
            </w:r>
            <w:r>
              <w:rPr>
                <w:rFonts w:hint="eastAsia" w:ascii="宋体" w:hAnsi="宋体" w:eastAsia="宋体" w:cs="宋体"/>
                <w:spacing w:val="-5"/>
                <w:highlight w:val="none"/>
                <w:lang w:eastAsia="zh-CN"/>
              </w:rPr>
              <w:t>，</w:t>
            </w:r>
            <w:r>
              <w:rPr>
                <w:rFonts w:hint="eastAsia" w:ascii="宋体" w:hAnsi="宋体" w:eastAsia="宋体" w:cs="宋体"/>
                <w:spacing w:val="-5"/>
              </w:rPr>
              <w:t>条理清晰度，保证措施的合理性、解决方案的完整性。根据投标文件“技术标”中相应内容对比评审，视优劣程度酌情打分，评为“优”得</w:t>
            </w:r>
            <w:r>
              <w:rPr>
                <w:rFonts w:hint="eastAsia" w:ascii="宋体" w:hAnsi="宋体" w:eastAsia="宋体" w:cs="宋体"/>
                <w:spacing w:val="-5"/>
                <w:lang w:val="en-US" w:eastAsia="zh-CN"/>
              </w:rPr>
              <w:t>5</w:t>
            </w:r>
            <w:r>
              <w:rPr>
                <w:rFonts w:hint="eastAsia" w:ascii="宋体" w:hAnsi="宋体" w:eastAsia="宋体" w:cs="宋体"/>
                <w:spacing w:val="-5"/>
              </w:rPr>
              <w:t>分，评为“良”得</w:t>
            </w:r>
            <w:r>
              <w:rPr>
                <w:rFonts w:hint="eastAsia" w:ascii="宋体" w:hAnsi="宋体" w:eastAsia="宋体" w:cs="宋体"/>
                <w:spacing w:val="-5"/>
                <w:lang w:val="en-US" w:eastAsia="zh-CN"/>
              </w:rPr>
              <w:t>4</w:t>
            </w:r>
            <w:r>
              <w:rPr>
                <w:rFonts w:hint="eastAsia" w:ascii="宋体" w:hAnsi="宋体" w:eastAsia="宋体" w:cs="宋体"/>
                <w:spacing w:val="-5"/>
              </w:rPr>
              <w:t>分，评为“中”得</w:t>
            </w:r>
            <w:r>
              <w:rPr>
                <w:rFonts w:hint="eastAsia" w:ascii="宋体" w:hAnsi="宋体" w:eastAsia="宋体" w:cs="宋体"/>
                <w:spacing w:val="-5"/>
                <w:lang w:val="en-US" w:eastAsia="zh-CN"/>
              </w:rPr>
              <w:t>3</w:t>
            </w:r>
            <w:r>
              <w:rPr>
                <w:rFonts w:hint="eastAsia" w:ascii="宋体" w:hAnsi="宋体" w:eastAsia="宋体" w:cs="宋体"/>
                <w:spacing w:val="-5"/>
              </w:rPr>
              <w:t>分；无此项内容得0分。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082" w:type="dxa"/>
            <w:gridSpan w:val="2"/>
            <w:vMerge w:val="continue"/>
            <w:noWrap w:val="0"/>
            <w:vAlign w:val="center"/>
          </w:tcPr>
          <w:p/>
        </w:tc>
        <w:tc>
          <w:tcPr>
            <w:tcW w:w="1062" w:type="dxa"/>
            <w:vMerge w:val="continue"/>
            <w:noWrap w:val="0"/>
            <w:vAlign w:val="center"/>
          </w:tcPr>
          <w:p>
            <w:pPr>
              <w:rPr>
                <w:rFonts w:ascii="宋体" w:hAnsi="宋体" w:eastAsia="宋体" w:cs="宋体"/>
                <w:spacing w:val="-5"/>
              </w:rPr>
            </w:pPr>
          </w:p>
        </w:tc>
        <w:tc>
          <w:tcPr>
            <w:tcW w:w="2267" w:type="dxa"/>
            <w:noWrap w:val="0"/>
            <w:vAlign w:val="center"/>
          </w:tcPr>
          <w:p>
            <w:pPr>
              <w:spacing w:before="1" w:line="274" w:lineRule="auto"/>
              <w:ind w:left="114" w:right="102" w:firstLine="1"/>
              <w:jc w:val="center"/>
              <w:rPr>
                <w:rFonts w:hint="eastAsia" w:ascii="宋体" w:hAnsi="宋体" w:eastAsia="宋体" w:cs="宋体"/>
                <w:spacing w:val="-5"/>
                <w:kern w:val="2"/>
                <w:sz w:val="21"/>
                <w:szCs w:val="22"/>
                <w:lang w:val="en-US" w:eastAsia="zh-CN" w:bidi="ar-SA"/>
              </w:rPr>
            </w:pPr>
            <w:r>
              <w:rPr>
                <w:rFonts w:hint="eastAsia" w:ascii="宋体" w:hAnsi="宋体" w:eastAsia="宋体" w:cs="宋体"/>
                <w:spacing w:val="-5"/>
                <w:kern w:val="2"/>
                <w:sz w:val="21"/>
                <w:szCs w:val="22"/>
                <w:lang w:val="en-US" w:eastAsia="zh-CN" w:bidi="ar-SA"/>
              </w:rPr>
              <w:t>整体设计方案合理性、系统性和可操作性（10分）</w:t>
            </w:r>
          </w:p>
        </w:tc>
        <w:tc>
          <w:tcPr>
            <w:tcW w:w="5531" w:type="dxa"/>
            <w:noWrap w:val="0"/>
            <w:vAlign w:val="center"/>
          </w:tcPr>
          <w:p>
            <w:pPr>
              <w:spacing w:before="1" w:line="274" w:lineRule="auto"/>
              <w:ind w:left="114" w:right="102" w:firstLine="1"/>
              <w:rPr>
                <w:rFonts w:hint="eastAsia" w:ascii="宋体" w:hAnsi="宋体" w:eastAsia="宋体" w:cs="宋体"/>
                <w:spacing w:val="-5"/>
                <w:kern w:val="2"/>
                <w:sz w:val="21"/>
                <w:szCs w:val="22"/>
                <w:lang w:val="en-US" w:eastAsia="zh-CN" w:bidi="ar-SA"/>
              </w:rPr>
            </w:pPr>
            <w:r>
              <w:rPr>
                <w:rFonts w:hint="eastAsia" w:ascii="宋体" w:hAnsi="宋体" w:eastAsia="宋体" w:cs="宋体"/>
                <w:spacing w:val="-5"/>
                <w:kern w:val="2"/>
                <w:sz w:val="21"/>
                <w:szCs w:val="22"/>
                <w:lang w:val="en-US" w:eastAsia="zh-CN" w:bidi="ar-SA"/>
              </w:rPr>
              <w:t>评审内容：针对工程目标，结合现状流域污染存在的问题及周边用地条件，提出具有合理性、系统性和可操作性的设计方案。</w:t>
            </w:r>
          </w:p>
          <w:p>
            <w:pPr>
              <w:spacing w:before="1" w:line="274" w:lineRule="auto"/>
              <w:ind w:left="114" w:right="102" w:firstLine="1"/>
              <w:rPr>
                <w:rFonts w:hint="eastAsia" w:ascii="宋体" w:hAnsi="宋体" w:eastAsia="宋体" w:cs="宋体"/>
                <w:spacing w:val="-5"/>
                <w:kern w:val="2"/>
                <w:sz w:val="21"/>
                <w:szCs w:val="22"/>
                <w:lang w:val="en-US" w:eastAsia="zh-CN" w:bidi="ar-SA"/>
              </w:rPr>
            </w:pPr>
            <w:r>
              <w:rPr>
                <w:rFonts w:hint="eastAsia" w:ascii="宋体" w:hAnsi="宋体" w:eastAsia="宋体" w:cs="宋体"/>
                <w:spacing w:val="-5"/>
                <w:kern w:val="2"/>
                <w:sz w:val="21"/>
                <w:szCs w:val="22"/>
                <w:lang w:val="en-US" w:eastAsia="zh-CN" w:bidi="ar-SA"/>
              </w:rPr>
              <w:t>根据投标文件“技术标”中相应内容对比评审，</w:t>
            </w:r>
            <w:r>
              <w:rPr>
                <w:rFonts w:hint="eastAsia" w:ascii="宋体" w:hAnsi="宋体" w:eastAsia="宋体" w:cs="宋体"/>
                <w:spacing w:val="-5"/>
              </w:rPr>
              <w:t>评为“优”得</w:t>
            </w:r>
            <w:r>
              <w:rPr>
                <w:rFonts w:hint="eastAsia" w:ascii="宋体" w:hAnsi="宋体" w:eastAsia="宋体" w:cs="宋体"/>
                <w:spacing w:val="-5"/>
                <w:lang w:val="en-US" w:eastAsia="zh-CN"/>
              </w:rPr>
              <w:t>10</w:t>
            </w:r>
            <w:r>
              <w:rPr>
                <w:rFonts w:hint="eastAsia" w:ascii="宋体" w:hAnsi="宋体" w:eastAsia="宋体" w:cs="宋体"/>
                <w:spacing w:val="-5"/>
              </w:rPr>
              <w:t>分，评为“良”得</w:t>
            </w:r>
            <w:r>
              <w:rPr>
                <w:rFonts w:hint="eastAsia" w:ascii="宋体" w:hAnsi="宋体" w:eastAsia="宋体" w:cs="宋体"/>
                <w:spacing w:val="-5"/>
                <w:lang w:val="en-US" w:eastAsia="zh-CN"/>
              </w:rPr>
              <w:t>8</w:t>
            </w:r>
            <w:r>
              <w:rPr>
                <w:rFonts w:hint="eastAsia" w:ascii="宋体" w:hAnsi="宋体" w:eastAsia="宋体" w:cs="宋体"/>
                <w:spacing w:val="-5"/>
              </w:rPr>
              <w:t>分，评为“中”得</w:t>
            </w:r>
            <w:r>
              <w:rPr>
                <w:rFonts w:hint="eastAsia" w:ascii="宋体" w:hAnsi="宋体" w:eastAsia="宋体" w:cs="宋体"/>
                <w:spacing w:val="-5"/>
                <w:lang w:val="en-US" w:eastAsia="zh-CN"/>
              </w:rPr>
              <w:t>6</w:t>
            </w:r>
            <w:r>
              <w:rPr>
                <w:rFonts w:hint="eastAsia" w:ascii="宋体" w:hAnsi="宋体" w:eastAsia="宋体" w:cs="宋体"/>
                <w:spacing w:val="-5"/>
              </w:rPr>
              <w:t>分；无此项内容得0分。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082" w:type="dxa"/>
            <w:gridSpan w:val="2"/>
            <w:vMerge w:val="continue"/>
            <w:noWrap w:val="0"/>
            <w:vAlign w:val="center"/>
          </w:tcPr>
          <w:p/>
        </w:tc>
        <w:tc>
          <w:tcPr>
            <w:tcW w:w="3329" w:type="dxa"/>
            <w:gridSpan w:val="2"/>
            <w:noWrap w:val="0"/>
            <w:vAlign w:val="center"/>
          </w:tcPr>
          <w:p>
            <w:pPr>
              <w:spacing w:line="263" w:lineRule="auto"/>
              <w:jc w:val="center"/>
              <w:rPr>
                <w:rFonts w:ascii="宋体" w:hAnsi="宋体" w:eastAsia="宋体" w:cs="宋体"/>
                <w:spacing w:val="-5"/>
              </w:rPr>
            </w:pPr>
            <w:r>
              <w:rPr>
                <w:rFonts w:hint="eastAsia" w:ascii="宋体" w:hAnsi="宋体" w:eastAsia="宋体" w:cs="宋体"/>
                <w:spacing w:val="-5"/>
              </w:rPr>
              <w:t>项目施工方案</w:t>
            </w:r>
            <w:r>
              <w:rPr>
                <w:rFonts w:ascii="宋体" w:hAnsi="宋体" w:eastAsia="宋体" w:cs="宋体"/>
                <w:spacing w:val="-5"/>
              </w:rPr>
              <w:t>（10分）</w:t>
            </w:r>
          </w:p>
        </w:tc>
        <w:tc>
          <w:tcPr>
            <w:tcW w:w="5531" w:type="dxa"/>
            <w:noWrap w:val="0"/>
            <w:vAlign w:val="top"/>
          </w:tcPr>
          <w:p>
            <w:pPr>
              <w:spacing w:before="1" w:line="274" w:lineRule="auto"/>
              <w:ind w:left="114" w:right="102" w:firstLine="1"/>
              <w:rPr>
                <w:rFonts w:hint="eastAsia" w:ascii="宋体" w:hAnsi="宋体" w:eastAsia="宋体" w:cs="宋体"/>
                <w:spacing w:val="-5"/>
                <w:kern w:val="2"/>
                <w:sz w:val="21"/>
                <w:szCs w:val="22"/>
                <w:lang w:val="en-US" w:eastAsia="zh-CN" w:bidi="ar-SA"/>
              </w:rPr>
            </w:pPr>
            <w:r>
              <w:rPr>
                <w:rFonts w:hint="eastAsia" w:ascii="宋体" w:hAnsi="宋体" w:eastAsia="宋体" w:cs="宋体"/>
                <w:spacing w:val="-5"/>
                <w:kern w:val="2"/>
                <w:sz w:val="21"/>
                <w:szCs w:val="22"/>
                <w:lang w:val="en-US" w:eastAsia="zh-CN" w:bidi="ar-SA"/>
              </w:rPr>
              <w:t>评审内容：方案的合理、可操作性，施工流程的详细程度，关键工程的明晰程度、技术措施的合理可行性及可操作性。</w:t>
            </w:r>
          </w:p>
          <w:p>
            <w:pPr>
              <w:spacing w:before="1" w:line="274" w:lineRule="auto"/>
              <w:ind w:left="114" w:right="102" w:firstLine="1"/>
              <w:rPr>
                <w:rFonts w:hint="eastAsia" w:ascii="宋体" w:hAnsi="宋体" w:eastAsia="宋体" w:cs="宋体"/>
                <w:spacing w:val="-5"/>
                <w:kern w:val="2"/>
                <w:sz w:val="21"/>
                <w:szCs w:val="22"/>
                <w:lang w:val="en-US" w:eastAsia="zh-CN" w:bidi="ar-SA"/>
              </w:rPr>
            </w:pPr>
            <w:r>
              <w:rPr>
                <w:rFonts w:hint="eastAsia" w:ascii="宋体" w:hAnsi="宋体" w:eastAsia="宋体" w:cs="宋体"/>
                <w:spacing w:val="-5"/>
                <w:kern w:val="2"/>
                <w:sz w:val="21"/>
                <w:szCs w:val="22"/>
                <w:lang w:val="en-US" w:eastAsia="zh-CN" w:bidi="ar-SA"/>
              </w:rPr>
              <w:t>根据投标文件“技术标”中相应内容对比评审，评为“优”得10分，评为“良”得8分，评为“中”得6分；无此项内容得0分。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082" w:type="dxa"/>
            <w:gridSpan w:val="2"/>
            <w:vMerge w:val="continue"/>
            <w:noWrap w:val="0"/>
            <w:vAlign w:val="center"/>
          </w:tcPr>
          <w:p>
            <w:bookmarkStart w:id="0" w:name="_Toc184635093"/>
          </w:p>
        </w:tc>
        <w:tc>
          <w:tcPr>
            <w:tcW w:w="3329" w:type="dxa"/>
            <w:gridSpan w:val="2"/>
            <w:noWrap w:val="0"/>
            <w:vAlign w:val="center"/>
          </w:tcPr>
          <w:p>
            <w:pPr>
              <w:spacing w:line="263" w:lineRule="auto"/>
              <w:jc w:val="center"/>
              <w:rPr>
                <w:rFonts w:hint="default" w:ascii="宋体" w:hAnsi="宋体" w:eastAsia="宋体" w:cs="宋体"/>
                <w:spacing w:val="-5"/>
                <w:lang w:val="en-US" w:eastAsia="zh-CN"/>
              </w:rPr>
            </w:pPr>
            <w:r>
              <w:rPr>
                <w:rFonts w:hint="eastAsia" w:ascii="宋体" w:hAnsi="宋体" w:eastAsia="宋体" w:cs="宋体"/>
                <w:spacing w:val="-5"/>
                <w:lang w:val="en-US" w:eastAsia="zh-CN"/>
              </w:rPr>
              <w:t>运维控制系统（2分）</w:t>
            </w:r>
          </w:p>
        </w:tc>
        <w:tc>
          <w:tcPr>
            <w:tcW w:w="5531" w:type="dxa"/>
            <w:noWrap w:val="0"/>
            <w:vAlign w:val="top"/>
          </w:tcPr>
          <w:p>
            <w:pPr>
              <w:pStyle w:val="13"/>
              <w:spacing w:line="307" w:lineRule="exact"/>
              <w:ind w:left="108"/>
              <w:rPr>
                <w:rFonts w:hint="eastAsia" w:ascii="宋体" w:hAnsi="宋体" w:eastAsia="宋体" w:cs="宋体"/>
                <w:spacing w:val="-5"/>
                <w:kern w:val="2"/>
                <w:sz w:val="21"/>
                <w:szCs w:val="22"/>
                <w:lang w:val="en-US" w:eastAsia="zh-CN" w:bidi="ar-SA"/>
              </w:rPr>
            </w:pPr>
            <w:r>
              <w:rPr>
                <w:rFonts w:hint="eastAsia" w:ascii="宋体" w:hAnsi="宋体" w:eastAsia="宋体" w:cs="宋体"/>
                <w:spacing w:val="-5"/>
                <w:kern w:val="2"/>
                <w:sz w:val="21"/>
                <w:szCs w:val="22"/>
                <w:lang w:val="en-US" w:eastAsia="zh-CN" w:bidi="ar-SA"/>
              </w:rPr>
              <w:t>评审内容：运维控制系统总体架构设计采用的系统框架先进、实用，技术路线清晰、合理，系统功能设计完整，业务逻辑和流程正确、合理。根据投标文件“技术标”中相应内容对比评审，评为“优”得2分，评为“良”得1.6分，评为“中”得1.2分；无此项内容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082" w:type="dxa"/>
            <w:gridSpan w:val="2"/>
            <w:vMerge w:val="continue"/>
            <w:noWrap w:val="0"/>
            <w:vAlign w:val="center"/>
          </w:tcPr>
          <w:p/>
        </w:tc>
        <w:tc>
          <w:tcPr>
            <w:tcW w:w="3329" w:type="dxa"/>
            <w:gridSpan w:val="2"/>
            <w:noWrap w:val="0"/>
            <w:vAlign w:val="center"/>
          </w:tcPr>
          <w:p>
            <w:pPr>
              <w:spacing w:line="263" w:lineRule="auto"/>
              <w:jc w:val="center"/>
              <w:rPr>
                <w:rFonts w:hint="eastAsia" w:ascii="宋体" w:hAnsi="宋体" w:eastAsia="宋体" w:cs="宋体"/>
                <w:spacing w:val="-5"/>
                <w:lang w:val="en-US" w:eastAsia="zh-CN"/>
              </w:rPr>
            </w:pPr>
            <w:r>
              <w:rPr>
                <w:rFonts w:hint="eastAsia" w:ascii="宋体" w:hAnsi="宋体" w:eastAsia="宋体" w:cs="宋体"/>
                <w:spacing w:val="-5"/>
                <w:lang w:val="en-US" w:eastAsia="zh-CN"/>
              </w:rPr>
              <w:t>项目重点、难点及对策和合理化建议</w:t>
            </w:r>
          </w:p>
          <w:p>
            <w:pPr>
              <w:spacing w:line="263" w:lineRule="auto"/>
              <w:jc w:val="center"/>
              <w:rPr>
                <w:rFonts w:hint="eastAsia" w:ascii="宋体" w:hAnsi="宋体" w:eastAsia="宋体" w:cs="宋体"/>
                <w:spacing w:val="-5"/>
                <w:lang w:val="en-US" w:eastAsia="zh-CN"/>
              </w:rPr>
            </w:pPr>
            <w:r>
              <w:rPr>
                <w:rFonts w:hint="eastAsia" w:ascii="宋体" w:hAnsi="宋体" w:eastAsia="宋体" w:cs="宋体"/>
                <w:spacing w:val="-5"/>
                <w:lang w:val="en-US" w:eastAsia="zh-CN"/>
              </w:rPr>
              <w:t>（2分）</w:t>
            </w:r>
          </w:p>
        </w:tc>
        <w:tc>
          <w:tcPr>
            <w:tcW w:w="5531" w:type="dxa"/>
            <w:noWrap w:val="0"/>
            <w:vAlign w:val="top"/>
          </w:tcPr>
          <w:p>
            <w:pPr>
              <w:spacing w:before="1" w:line="274" w:lineRule="auto"/>
              <w:ind w:left="114" w:right="102" w:firstLine="1"/>
              <w:rPr>
                <w:rFonts w:hint="eastAsia" w:ascii="宋体" w:hAnsi="宋体" w:eastAsia="宋体" w:cs="宋体"/>
                <w:spacing w:val="-5"/>
              </w:rPr>
            </w:pPr>
            <w:r>
              <w:rPr>
                <w:rFonts w:hint="eastAsia" w:ascii="宋体" w:hAnsi="宋体" w:eastAsia="宋体" w:cs="宋体"/>
                <w:spacing w:val="-5"/>
                <w:kern w:val="2"/>
                <w:sz w:val="21"/>
                <w:szCs w:val="22"/>
                <w:lang w:val="en-US" w:eastAsia="zh-CN" w:bidi="ar-SA"/>
              </w:rPr>
              <w:t>评审内容：对项目的重点、难点进行分析，并提出关键性问题的解决方案和创新技术，提出合理化建议。根据投标文件“技术标”中相应内容对比评审，评为“优”得2分，评为“良”得1.6分，评为“中”得1.2分；无此项内容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082" w:type="dxa"/>
            <w:gridSpan w:val="2"/>
            <w:noWrap w:val="0"/>
            <w:vAlign w:val="center"/>
          </w:tcPr>
          <w:p/>
        </w:tc>
        <w:tc>
          <w:tcPr>
            <w:tcW w:w="3329" w:type="dxa"/>
            <w:gridSpan w:val="2"/>
            <w:noWrap w:val="0"/>
            <w:vAlign w:val="center"/>
          </w:tcPr>
          <w:p>
            <w:pPr>
              <w:spacing w:line="263" w:lineRule="auto"/>
              <w:jc w:val="center"/>
              <w:rPr>
                <w:rFonts w:hint="eastAsia" w:ascii="宋体" w:hAnsi="宋体" w:eastAsia="宋体" w:cs="宋体"/>
                <w:spacing w:val="-5"/>
                <w:lang w:val="en-US" w:eastAsia="zh-CN"/>
              </w:rPr>
            </w:pPr>
            <w:r>
              <w:rPr>
                <w:rFonts w:hint="eastAsia" w:ascii="宋体" w:hAnsi="宋体" w:eastAsia="宋体" w:cs="宋体"/>
                <w:spacing w:val="-5"/>
                <w:lang w:val="en-US" w:eastAsia="zh-CN"/>
              </w:rPr>
              <w:t>项目运维方案（5分）</w:t>
            </w:r>
          </w:p>
        </w:tc>
        <w:tc>
          <w:tcPr>
            <w:tcW w:w="5531" w:type="dxa"/>
            <w:noWrap w:val="0"/>
            <w:vAlign w:val="top"/>
          </w:tcPr>
          <w:p>
            <w:pPr>
              <w:spacing w:before="1" w:line="274" w:lineRule="auto"/>
              <w:ind w:left="114" w:right="102" w:firstLine="1"/>
              <w:rPr>
                <w:rFonts w:hint="default"/>
                <w:sz w:val="20"/>
                <w:szCs w:val="20"/>
                <w:lang w:val="en-US" w:eastAsia="zh-CN"/>
              </w:rPr>
            </w:pPr>
            <w:r>
              <w:rPr>
                <w:rFonts w:hint="eastAsia" w:ascii="宋体" w:hAnsi="宋体" w:eastAsia="宋体" w:cs="宋体"/>
                <w:spacing w:val="-5"/>
                <w:kern w:val="2"/>
                <w:sz w:val="21"/>
                <w:szCs w:val="22"/>
                <w:lang w:val="en-US" w:eastAsia="zh-CN" w:bidi="ar-SA"/>
              </w:rPr>
              <w:t>评审内容：有详细的运维组织架构、机制体制、日常运维方案、应急处置方案、有足够的运维人员和所需设备投入（附清单）保障运维效果。根据投标文件“技术标”中相应内容对比评审，</w:t>
            </w:r>
            <w:r>
              <w:rPr>
                <w:rFonts w:hint="eastAsia" w:ascii="宋体" w:hAnsi="宋体" w:eastAsia="宋体" w:cs="宋体"/>
                <w:spacing w:val="-5"/>
              </w:rPr>
              <w:t>评为“优”得</w:t>
            </w:r>
            <w:r>
              <w:rPr>
                <w:rFonts w:hint="eastAsia" w:ascii="宋体" w:hAnsi="宋体" w:eastAsia="宋体" w:cs="宋体"/>
                <w:spacing w:val="-5"/>
                <w:lang w:val="en-US" w:eastAsia="zh-CN"/>
              </w:rPr>
              <w:t>5</w:t>
            </w:r>
            <w:r>
              <w:rPr>
                <w:rFonts w:hint="eastAsia" w:ascii="宋体" w:hAnsi="宋体" w:eastAsia="宋体" w:cs="宋体"/>
                <w:spacing w:val="-5"/>
              </w:rPr>
              <w:t>分，评为“良”得</w:t>
            </w:r>
            <w:r>
              <w:rPr>
                <w:rFonts w:hint="eastAsia" w:ascii="宋体" w:hAnsi="宋体" w:eastAsia="宋体" w:cs="宋体"/>
                <w:spacing w:val="-5"/>
                <w:lang w:val="en-US" w:eastAsia="zh-CN"/>
              </w:rPr>
              <w:t>4</w:t>
            </w:r>
            <w:r>
              <w:rPr>
                <w:rFonts w:hint="eastAsia" w:ascii="宋体" w:hAnsi="宋体" w:eastAsia="宋体" w:cs="宋体"/>
                <w:spacing w:val="-5"/>
              </w:rPr>
              <w:t>分，评为“中”得</w:t>
            </w:r>
            <w:r>
              <w:rPr>
                <w:rFonts w:hint="eastAsia" w:ascii="宋体" w:hAnsi="宋体" w:eastAsia="宋体" w:cs="宋体"/>
                <w:spacing w:val="-5"/>
                <w:lang w:val="en-US" w:eastAsia="zh-CN"/>
              </w:rPr>
              <w:t>3</w:t>
            </w:r>
            <w:r>
              <w:rPr>
                <w:rFonts w:hint="eastAsia" w:ascii="宋体" w:hAnsi="宋体" w:eastAsia="宋体" w:cs="宋体"/>
                <w:spacing w:val="-5"/>
              </w:rPr>
              <w:t>分；无此项内容得0分。</w:t>
            </w:r>
          </w:p>
        </w:tc>
      </w:tr>
    </w:tbl>
    <w:p>
      <w:pPr>
        <w:pStyle w:val="4"/>
        <w:rPr>
          <w:color w:val="000000"/>
        </w:rPr>
      </w:pPr>
      <w:r>
        <w:rPr>
          <w:rFonts w:hint="eastAsia"/>
          <w:color w:val="000000"/>
        </w:rPr>
        <w:t>1、评标方法</w:t>
      </w:r>
      <w:bookmarkEnd w:id="0"/>
    </w:p>
    <w:p>
      <w:pPr>
        <w:spacing w:line="360" w:lineRule="exact"/>
        <w:ind w:firstLine="420" w:firstLineChars="200"/>
        <w:rPr>
          <w:rFonts w:ascii="宋体" w:hAnsi="宋体"/>
          <w:color w:val="000000"/>
          <w:szCs w:val="21"/>
        </w:rPr>
      </w:pPr>
      <w:r>
        <w:rPr>
          <w:rFonts w:hint="eastAsia" w:ascii="宋体" w:hAnsi="宋体"/>
          <w:color w:val="000000"/>
          <w:szCs w:val="21"/>
        </w:rPr>
        <w:t>本次评标采用综合评分法。评标委员会对满足招标文件实质性要求的投标文件，按照本章第2.2 款规定的评分标准进行打分，并按得分由高到低顺序推荐中标候选人，或根据招标人授权直接确定中标人，但投标报价低于其成本的除外。当出现多家投标人的总得分相同时，以信用标（如有）得分高的优先；信用标得分相同时，以投标报价低者优先；投标报价再相同的，由评标委员会采用随机抽取方法确定排名顺序。随机抽取的程序：①首先对总得分相同的投标人进行随机抽取编号； ②对编号的投标人随机抽取排序。</w:t>
      </w:r>
    </w:p>
    <w:p>
      <w:pPr>
        <w:spacing w:line="360" w:lineRule="auto"/>
        <w:rPr>
          <w:rFonts w:ascii="宋体" w:hAnsi="宋体"/>
          <w:color w:val="000000"/>
          <w:szCs w:val="21"/>
        </w:rPr>
      </w:pPr>
    </w:p>
    <w:p>
      <w:pPr>
        <w:pStyle w:val="4"/>
        <w:numPr>
          <w:ilvl w:val="0"/>
          <w:numId w:val="2"/>
        </w:numPr>
        <w:rPr>
          <w:color w:val="000000"/>
        </w:rPr>
      </w:pPr>
      <w:bookmarkStart w:id="1" w:name="_Toc184635094"/>
      <w:r>
        <w:rPr>
          <w:rFonts w:hint="eastAsia"/>
          <w:color w:val="000000"/>
        </w:rPr>
        <w:t>评审标准</w:t>
      </w:r>
      <w:bookmarkEnd w:id="1"/>
    </w:p>
    <w:p/>
    <w:p>
      <w:pPr>
        <w:pStyle w:val="5"/>
        <w:rPr>
          <w:color w:val="000000"/>
        </w:rPr>
      </w:pPr>
      <w:r>
        <w:rPr>
          <w:rFonts w:hint="eastAsia"/>
          <w:color w:val="000000"/>
        </w:rPr>
        <w:t>2.1 初步评审标准</w:t>
      </w:r>
    </w:p>
    <w:p>
      <w:pPr>
        <w:spacing w:line="360" w:lineRule="auto"/>
        <w:ind w:firstLine="420" w:firstLineChars="200"/>
        <w:rPr>
          <w:rFonts w:ascii="宋体" w:hAnsi="宋体"/>
          <w:color w:val="000000"/>
          <w:szCs w:val="21"/>
        </w:rPr>
      </w:pPr>
      <w:r>
        <w:rPr>
          <w:rFonts w:hint="eastAsia" w:ascii="宋体" w:hAnsi="宋体"/>
          <w:color w:val="000000"/>
          <w:szCs w:val="21"/>
        </w:rPr>
        <w:t>2.1.1 形式评审标准：见评标办法前附表。</w:t>
      </w:r>
    </w:p>
    <w:p>
      <w:pPr>
        <w:spacing w:line="360" w:lineRule="auto"/>
        <w:ind w:firstLine="420" w:firstLineChars="200"/>
        <w:rPr>
          <w:rFonts w:ascii="宋体" w:hAnsi="宋体"/>
          <w:color w:val="000000"/>
          <w:szCs w:val="21"/>
        </w:rPr>
      </w:pPr>
      <w:r>
        <w:rPr>
          <w:rFonts w:hint="eastAsia" w:ascii="宋体" w:hAnsi="宋体"/>
          <w:color w:val="000000"/>
          <w:szCs w:val="21"/>
        </w:rPr>
        <w:t>2.1.2 资格评审标准：见评标办法前附表。</w:t>
      </w:r>
    </w:p>
    <w:p>
      <w:pPr>
        <w:spacing w:line="360" w:lineRule="auto"/>
        <w:ind w:firstLine="420" w:firstLineChars="200"/>
        <w:rPr>
          <w:rFonts w:ascii="宋体" w:hAnsi="宋体"/>
          <w:color w:val="000000"/>
          <w:szCs w:val="21"/>
        </w:rPr>
      </w:pPr>
      <w:r>
        <w:rPr>
          <w:rFonts w:hint="eastAsia" w:ascii="宋体" w:hAnsi="宋体"/>
          <w:color w:val="000000"/>
          <w:szCs w:val="21"/>
        </w:rPr>
        <w:t>2.1.3 响应性评审标准：见评标办法前附表。</w:t>
      </w:r>
    </w:p>
    <w:p>
      <w:pPr>
        <w:pStyle w:val="5"/>
        <w:rPr>
          <w:color w:val="000000"/>
        </w:rPr>
      </w:pPr>
      <w:r>
        <w:rPr>
          <w:rFonts w:hint="eastAsia"/>
          <w:color w:val="000000"/>
        </w:rPr>
        <w:t>2.2 分值构成与评分标准</w:t>
      </w:r>
    </w:p>
    <w:p>
      <w:pPr>
        <w:spacing w:line="360" w:lineRule="auto"/>
        <w:ind w:firstLine="420" w:firstLineChars="200"/>
        <w:rPr>
          <w:rFonts w:ascii="宋体" w:hAnsi="宋体"/>
          <w:color w:val="000000"/>
          <w:szCs w:val="21"/>
        </w:rPr>
      </w:pPr>
      <w:r>
        <w:rPr>
          <w:rFonts w:hint="eastAsia" w:ascii="宋体" w:hAnsi="宋体"/>
          <w:color w:val="000000"/>
          <w:szCs w:val="21"/>
        </w:rPr>
        <w:t>2.2.1 分值构成</w:t>
      </w:r>
    </w:p>
    <w:p>
      <w:pPr>
        <w:spacing w:line="360" w:lineRule="auto"/>
        <w:ind w:firstLine="420" w:firstLineChars="200"/>
        <w:rPr>
          <w:rFonts w:ascii="宋体" w:hAnsi="宋体"/>
          <w:color w:val="auto"/>
          <w:szCs w:val="21"/>
        </w:rPr>
      </w:pPr>
      <w:r>
        <w:rPr>
          <w:rFonts w:hint="eastAsia" w:ascii="宋体" w:hAnsi="宋体"/>
          <w:color w:val="auto"/>
          <w:szCs w:val="21"/>
        </w:rPr>
        <w:t>见评标办法前附表；</w:t>
      </w:r>
    </w:p>
    <w:p>
      <w:pPr>
        <w:spacing w:line="360" w:lineRule="auto"/>
        <w:ind w:firstLine="420" w:firstLineChars="200"/>
        <w:rPr>
          <w:rFonts w:ascii="宋体" w:hAnsi="宋体"/>
          <w:color w:val="000000"/>
          <w:szCs w:val="21"/>
        </w:rPr>
      </w:pPr>
      <w:r>
        <w:rPr>
          <w:rFonts w:hint="eastAsia" w:ascii="宋体" w:hAnsi="宋体"/>
          <w:color w:val="000000"/>
          <w:szCs w:val="21"/>
        </w:rPr>
        <w:t>2.2.2 评分标准</w:t>
      </w:r>
    </w:p>
    <w:p>
      <w:pPr>
        <w:spacing w:line="360" w:lineRule="auto"/>
        <w:ind w:firstLine="420" w:firstLineChars="200"/>
        <w:rPr>
          <w:rFonts w:hint="eastAsia" w:ascii="宋体" w:hAnsi="宋体"/>
          <w:color w:val="auto"/>
          <w:szCs w:val="21"/>
        </w:rPr>
      </w:pPr>
      <w:r>
        <w:rPr>
          <w:rFonts w:hint="eastAsia" w:ascii="宋体" w:hAnsi="宋体"/>
          <w:color w:val="auto"/>
          <w:szCs w:val="21"/>
        </w:rPr>
        <w:t>见评标办法前附表；</w:t>
      </w:r>
    </w:p>
    <w:p>
      <w:pPr>
        <w:pStyle w:val="2"/>
      </w:pPr>
    </w:p>
    <w:p>
      <w:pPr>
        <w:pStyle w:val="4"/>
        <w:rPr>
          <w:color w:val="000000"/>
        </w:rPr>
      </w:pPr>
      <w:bookmarkStart w:id="2" w:name="_Toc184635095"/>
      <w:r>
        <w:rPr>
          <w:rFonts w:hint="eastAsia"/>
          <w:color w:val="000000"/>
        </w:rPr>
        <w:t>3、评标程序</w:t>
      </w:r>
      <w:bookmarkEnd w:id="2"/>
    </w:p>
    <w:p>
      <w:pPr>
        <w:pStyle w:val="5"/>
        <w:rPr>
          <w:color w:val="000000"/>
        </w:rPr>
      </w:pPr>
      <w:r>
        <w:rPr>
          <w:rFonts w:hint="eastAsia"/>
          <w:color w:val="000000"/>
        </w:rPr>
        <w:t>3.1 初步评审</w:t>
      </w:r>
    </w:p>
    <w:p>
      <w:pPr>
        <w:spacing w:line="360" w:lineRule="auto"/>
        <w:ind w:firstLine="420" w:firstLineChars="200"/>
        <w:rPr>
          <w:rFonts w:ascii="宋体" w:hAnsi="宋体"/>
          <w:color w:val="000000"/>
          <w:szCs w:val="21"/>
        </w:rPr>
      </w:pPr>
      <w:r>
        <w:rPr>
          <w:rFonts w:hint="eastAsia" w:ascii="宋体" w:hAnsi="宋体"/>
          <w:color w:val="000000"/>
          <w:szCs w:val="21"/>
        </w:rPr>
        <w:t>3.1.1 评标委员会可以要求投标人提交第二章“投标人须知”第3.5.1 项至第3.5.5 项规定的有关证明和证件的原件，以便核验。评标委员会依据本章第2.1 款规定的标准对投标文件进行初步评审。有一项不符合评审标准的，否决其投标。</w:t>
      </w:r>
    </w:p>
    <w:p>
      <w:pPr>
        <w:spacing w:line="360" w:lineRule="auto"/>
        <w:ind w:firstLine="420" w:firstLineChars="200"/>
        <w:rPr>
          <w:rFonts w:ascii="宋体" w:hAnsi="宋体"/>
          <w:color w:val="000000"/>
          <w:szCs w:val="21"/>
        </w:rPr>
      </w:pPr>
      <w:r>
        <w:rPr>
          <w:rFonts w:hint="eastAsia" w:ascii="宋体" w:hAnsi="宋体"/>
          <w:color w:val="000000"/>
          <w:szCs w:val="21"/>
        </w:rPr>
        <w:t>3.1.2 投标人有以下情形之一的，</w:t>
      </w:r>
      <w:r>
        <w:rPr>
          <w:rFonts w:hint="eastAsia"/>
          <w:color w:val="000000"/>
          <w:szCs w:val="21"/>
        </w:rPr>
        <w:t>评标委员会应当否决其投标</w:t>
      </w:r>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(l）第二章“投标人须知”第1.4.3项规定的任何一种情形的；</w:t>
      </w:r>
    </w:p>
    <w:p>
      <w:pPr>
        <w:spacing w:line="360" w:lineRule="auto"/>
        <w:ind w:firstLine="420" w:firstLineChars="200"/>
        <w:rPr>
          <w:rFonts w:ascii="宋体" w:hAnsi="宋体"/>
          <w:color w:val="000000"/>
          <w:szCs w:val="21"/>
        </w:rPr>
      </w:pPr>
      <w:r>
        <w:rPr>
          <w:rFonts w:hint="eastAsia" w:ascii="宋体" w:hAnsi="宋体"/>
          <w:color w:val="000000"/>
          <w:szCs w:val="21"/>
        </w:rPr>
        <w:t>(2）串通投标或弄虚作假或有其他违法行为的；</w:t>
      </w:r>
    </w:p>
    <w:p>
      <w:pPr>
        <w:spacing w:line="360" w:lineRule="auto"/>
        <w:ind w:firstLine="420" w:firstLineChars="200"/>
        <w:rPr>
          <w:rFonts w:hint="eastAsia" w:ascii="宋体" w:hAnsi="宋体"/>
          <w:color w:val="000000"/>
          <w:szCs w:val="21"/>
        </w:rPr>
      </w:pPr>
      <w:r>
        <w:rPr>
          <w:rFonts w:hint="eastAsia" w:ascii="宋体" w:hAnsi="宋体"/>
          <w:color w:val="000000"/>
          <w:szCs w:val="21"/>
        </w:rPr>
        <w:t>(3）不按评标委员会要求澄清、说明或补正的。</w:t>
      </w:r>
    </w:p>
    <w:p>
      <w:pPr>
        <w:spacing w:line="360" w:lineRule="auto"/>
        <w:ind w:firstLine="420" w:firstLineChars="20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lang w:val="en-US" w:eastAsia="zh-CN"/>
        </w:rPr>
        <w:t>4</w:t>
      </w:r>
      <w:r>
        <w:rPr>
          <w:rFonts w:hint="eastAsia" w:ascii="宋体" w:hAnsi="宋体"/>
          <w:color w:val="000000"/>
          <w:szCs w:val="21"/>
          <w:lang w:eastAsia="zh-CN"/>
        </w:rPr>
        <w:t>）</w:t>
      </w:r>
      <w:r>
        <w:rPr>
          <w:rFonts w:hint="eastAsia" w:ascii="宋体" w:hAnsi="宋体"/>
          <w:color w:val="000000"/>
          <w:szCs w:val="21"/>
        </w:rPr>
        <w:t>法律、法规规定的其他情形。</w:t>
      </w:r>
    </w:p>
    <w:p>
      <w:pPr>
        <w:spacing w:line="360" w:lineRule="auto"/>
        <w:ind w:firstLine="420" w:firstLineChars="200"/>
        <w:rPr>
          <w:rFonts w:ascii="宋体" w:hAnsi="宋体"/>
          <w:color w:val="000000"/>
          <w:szCs w:val="21"/>
        </w:rPr>
      </w:pPr>
      <w:r>
        <w:rPr>
          <w:rFonts w:hint="eastAsia" w:ascii="宋体" w:hAnsi="宋体"/>
          <w:color w:val="000000"/>
          <w:szCs w:val="21"/>
        </w:rPr>
        <w:t>3.1.3 投标报价有算术错误的，评标委员会按以下原则对投标报价进行修正，修正的价格经投标人书面确认后具有约束力。投标人不接受修正价格的，</w:t>
      </w:r>
      <w:r>
        <w:rPr>
          <w:rFonts w:hint="eastAsia"/>
          <w:color w:val="000000"/>
          <w:szCs w:val="21"/>
        </w:rPr>
        <w:t>评标委员会应当否决其投标</w:t>
      </w:r>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(1）投标文件中的大写金额与小写金额不一致的，以大写金额为准；</w:t>
      </w:r>
    </w:p>
    <w:p>
      <w:pPr>
        <w:spacing w:line="360" w:lineRule="auto"/>
        <w:ind w:firstLine="420" w:firstLineChars="200"/>
        <w:rPr>
          <w:rFonts w:ascii="宋体" w:hAnsi="宋体"/>
          <w:color w:val="000000"/>
          <w:szCs w:val="21"/>
        </w:rPr>
      </w:pPr>
      <w:r>
        <w:rPr>
          <w:rFonts w:hint="eastAsia" w:ascii="宋体" w:hAnsi="宋体"/>
          <w:color w:val="000000"/>
          <w:szCs w:val="21"/>
        </w:rPr>
        <w:t>(2）总价金额与依据单价计算出的结果不一致的，以单价金额为准修正总价，但单价金额小数点有明显错误的除外。</w:t>
      </w:r>
    </w:p>
    <w:p>
      <w:pPr>
        <w:spacing w:line="360" w:lineRule="exact"/>
        <w:ind w:firstLine="420" w:firstLineChars="200"/>
        <w:rPr>
          <w:rFonts w:ascii="宋体" w:hAnsi="宋体"/>
          <w:color w:val="auto"/>
          <w:szCs w:val="21"/>
        </w:rPr>
      </w:pPr>
      <w:r>
        <w:rPr>
          <w:rFonts w:hint="eastAsia"/>
          <w:color w:val="auto"/>
          <w:szCs w:val="21"/>
        </w:rPr>
        <w:t>3.1.4</w:t>
      </w:r>
      <w:r>
        <w:rPr>
          <w:rFonts w:hint="eastAsia" w:ascii="宋体" w:hAnsi="宋体"/>
          <w:color w:val="auto"/>
          <w:szCs w:val="21"/>
        </w:rPr>
        <w:t>技术标为暗标评审，技术标标书中除封面加盖投标人印章外，其他地方不得出现任何可能识别投标人的字样、标识或内容，否则，该技术标作零分处理。实行全流程电子投标的项目，评审前系统自动对所有投标人的技术标进行编号。</w:t>
      </w:r>
    </w:p>
    <w:p>
      <w:pPr>
        <w:pStyle w:val="5"/>
        <w:rPr>
          <w:color w:val="000000"/>
        </w:rPr>
      </w:pPr>
      <w:r>
        <w:rPr>
          <w:rFonts w:hint="eastAsia"/>
          <w:color w:val="000000"/>
        </w:rPr>
        <w:t>3.2 详细评审</w:t>
      </w:r>
    </w:p>
    <w:p>
      <w:pPr>
        <w:spacing w:line="360" w:lineRule="auto"/>
        <w:ind w:firstLine="420" w:firstLineChars="200"/>
        <w:rPr>
          <w:rFonts w:ascii="宋体" w:hAnsi="宋体"/>
          <w:color w:val="000000"/>
          <w:szCs w:val="21"/>
        </w:rPr>
      </w:pPr>
      <w:r>
        <w:rPr>
          <w:rFonts w:hint="eastAsia" w:ascii="宋体" w:hAnsi="宋体"/>
          <w:color w:val="000000"/>
          <w:szCs w:val="21"/>
        </w:rPr>
        <w:t>3.2.1 评标委员会按本章第2.2 款规定的量化因素和分值进行打分，并计算出综合评估得分。</w:t>
      </w:r>
    </w:p>
    <w:p>
      <w:pPr>
        <w:spacing w:line="360" w:lineRule="auto"/>
        <w:ind w:firstLine="420" w:firstLineChars="200"/>
        <w:rPr>
          <w:rFonts w:ascii="宋体" w:hAnsi="宋体"/>
          <w:color w:val="000000"/>
          <w:szCs w:val="21"/>
        </w:rPr>
      </w:pPr>
      <w:r>
        <w:rPr>
          <w:rFonts w:hint="eastAsia" w:ascii="宋体" w:hAnsi="宋体"/>
          <w:color w:val="000000"/>
          <w:szCs w:val="21"/>
        </w:rPr>
        <w:t>3.2.2 评分分值计算保留小数点后两位，小数点后第三位“四舍五入”。</w:t>
      </w:r>
    </w:p>
    <w:p>
      <w:pPr>
        <w:spacing w:line="360" w:lineRule="auto"/>
        <w:ind w:firstLine="420" w:firstLineChars="200"/>
        <w:rPr>
          <w:rFonts w:ascii="宋体" w:hAnsi="宋体"/>
          <w:color w:val="000000"/>
          <w:szCs w:val="21"/>
        </w:rPr>
      </w:pPr>
      <w:r>
        <w:rPr>
          <w:rFonts w:hint="eastAsia" w:ascii="宋体" w:hAnsi="宋体"/>
          <w:color w:val="000000"/>
          <w:szCs w:val="21"/>
        </w:rPr>
        <w:t>3.2.3 投标人得分=商务标得分十技术标得分。</w:t>
      </w:r>
    </w:p>
    <w:p>
      <w:pPr>
        <w:spacing w:line="360" w:lineRule="auto"/>
        <w:ind w:firstLine="420" w:firstLineChars="200"/>
        <w:rPr>
          <w:rFonts w:ascii="宋体" w:hAnsi="宋体"/>
          <w:color w:val="000000"/>
          <w:szCs w:val="21"/>
        </w:rPr>
      </w:pPr>
      <w:r>
        <w:rPr>
          <w:rFonts w:hint="eastAsia" w:ascii="宋体" w:hAnsi="宋体"/>
          <w:color w:val="000000"/>
          <w:szCs w:val="21"/>
        </w:rPr>
        <w:t>3.2.4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否决其投标。</w:t>
      </w:r>
    </w:p>
    <w:p>
      <w:pPr>
        <w:pStyle w:val="5"/>
        <w:rPr>
          <w:color w:val="000000"/>
        </w:rPr>
      </w:pPr>
      <w:r>
        <w:rPr>
          <w:rFonts w:hint="eastAsia"/>
          <w:color w:val="000000"/>
        </w:rPr>
        <w:t>3.3 投标文件的澄清和补正</w:t>
      </w:r>
    </w:p>
    <w:p>
      <w:pPr>
        <w:spacing w:line="360" w:lineRule="auto"/>
        <w:ind w:firstLine="420" w:firstLineChars="200"/>
        <w:rPr>
          <w:rFonts w:ascii="宋体" w:hAnsi="宋体"/>
          <w:color w:val="000000"/>
          <w:szCs w:val="21"/>
        </w:rPr>
      </w:pPr>
      <w:r>
        <w:rPr>
          <w:rFonts w:hint="eastAsia" w:ascii="宋体" w:hAnsi="宋体"/>
          <w:color w:val="000000"/>
          <w:szCs w:val="21"/>
        </w:rPr>
        <w:t>3.3.1 在评标过程中，评标委员会可以书面形式要求投标人对所提交投标文件中不明确的内容进行书面澄清或说明，或者对细微偏差进行补正。评标委员会不接受投标人主动提出的澄清、说明或补正。</w:t>
      </w:r>
    </w:p>
    <w:p>
      <w:pPr>
        <w:spacing w:line="360" w:lineRule="auto"/>
        <w:ind w:firstLine="420" w:firstLineChars="200"/>
        <w:rPr>
          <w:rFonts w:ascii="宋体" w:hAnsi="宋体"/>
          <w:color w:val="000000"/>
          <w:szCs w:val="21"/>
        </w:rPr>
      </w:pPr>
      <w:r>
        <w:rPr>
          <w:rFonts w:hint="eastAsia" w:ascii="宋体" w:hAnsi="宋体"/>
          <w:color w:val="000000"/>
          <w:szCs w:val="21"/>
        </w:rPr>
        <w:t>3.3.2 澄清、说明和补正不得改变投标文件的实质性内容（算术性错误修正的除外）。投标人的书面澄清、说明和补正属于投标文件的组成部分。</w:t>
      </w:r>
    </w:p>
    <w:p>
      <w:pPr>
        <w:spacing w:line="360" w:lineRule="auto"/>
        <w:ind w:firstLine="420" w:firstLineChars="200"/>
        <w:rPr>
          <w:rFonts w:ascii="宋体" w:hAnsi="宋体"/>
          <w:color w:val="000000"/>
          <w:szCs w:val="21"/>
        </w:rPr>
      </w:pPr>
      <w:r>
        <w:rPr>
          <w:rFonts w:hint="eastAsia" w:ascii="宋体" w:hAnsi="宋体"/>
          <w:color w:val="000000"/>
          <w:szCs w:val="21"/>
        </w:rPr>
        <w:t>3.3.3 评标委员会对投标人提交的澄清、说明或补正有疑问的，可以要求投标人进一步澄清、说明或补正，直至满足评标委员会的要求。</w:t>
      </w:r>
    </w:p>
    <w:p>
      <w:pPr>
        <w:pStyle w:val="5"/>
        <w:rPr>
          <w:color w:val="000000"/>
        </w:rPr>
      </w:pPr>
      <w:r>
        <w:rPr>
          <w:rFonts w:hint="eastAsia"/>
          <w:color w:val="000000"/>
        </w:rPr>
        <w:t>3.4 评标结果</w:t>
      </w:r>
    </w:p>
    <w:p>
      <w:pPr>
        <w:spacing w:line="360" w:lineRule="auto"/>
        <w:ind w:firstLine="420" w:firstLineChars="200"/>
        <w:rPr>
          <w:rFonts w:ascii="宋体" w:hAnsi="宋体"/>
          <w:color w:val="FF0000"/>
          <w:szCs w:val="21"/>
        </w:rPr>
      </w:pPr>
      <w:r>
        <w:rPr>
          <w:rFonts w:hint="eastAsia" w:ascii="宋体" w:hAnsi="宋体"/>
          <w:color w:val="000000"/>
          <w:szCs w:val="21"/>
        </w:rPr>
        <w:t xml:space="preserve">3.4.1 </w:t>
      </w:r>
      <w:r>
        <w:rPr>
          <w:rFonts w:hint="eastAsia" w:ascii="宋体" w:hAnsi="宋体"/>
          <w:color w:val="auto"/>
          <w:szCs w:val="21"/>
        </w:rPr>
        <w:t>除第二章“投标人须知”前附表授权直接确定中标人外，评标委员会按照得分高到低的顺序推荐中标候选人。</w:t>
      </w:r>
    </w:p>
    <w:p>
      <w:pPr>
        <w:spacing w:line="360" w:lineRule="exact"/>
        <w:ind w:firstLine="420" w:firstLineChars="200"/>
        <w:rPr>
          <w:rFonts w:ascii="宋体" w:hAnsi="宋体"/>
          <w:color w:val="000000"/>
          <w:szCs w:val="21"/>
        </w:rPr>
      </w:pPr>
      <w:r>
        <w:rPr>
          <w:rFonts w:hint="eastAsia"/>
          <w:color w:val="000000"/>
          <w:szCs w:val="21"/>
        </w:rPr>
        <w:t>3.4.2</w:t>
      </w:r>
      <w:r>
        <w:rPr>
          <w:rFonts w:hint="eastAsia" w:ascii="宋体" w:hAnsi="宋体"/>
          <w:color w:val="000000"/>
          <w:szCs w:val="21"/>
        </w:rPr>
        <w:t>评标委员会（安排招标代理机构）对拟推荐的中标候选人的信用状况进行查询，经查询若被列入投标人须知前附表中第10.3中第3条失信名单的，由评标委员会取消其中标候选人资格，重新确定中标候选人人选，完成相关工作，与此同时，将查询情况记入评审报告，同时将网站查询结果截图打印出来后，记入评审报告中。</w:t>
      </w:r>
    </w:p>
    <w:p>
      <w:pPr>
        <w:spacing w:line="400" w:lineRule="exact"/>
        <w:ind w:firstLine="420" w:firstLineChars="200"/>
        <w:rPr>
          <w:rFonts w:ascii="宋体" w:hAnsi="宋体"/>
          <w:color w:val="000000"/>
          <w:szCs w:val="21"/>
        </w:rPr>
      </w:pPr>
      <w:r>
        <w:rPr>
          <w:rFonts w:hint="eastAsia"/>
          <w:color w:val="000000"/>
          <w:szCs w:val="21"/>
        </w:rPr>
        <w:t>3.4.3 评标委员会完成评标后，应当向招标人提交书面评标报告。</w:t>
      </w:r>
    </w:p>
    <w:p>
      <w:pPr>
        <w:pStyle w:val="11"/>
        <w:spacing w:line="360" w:lineRule="auto"/>
        <w:rPr>
          <w:rFonts w:hint="eastAsia"/>
          <w:b/>
          <w:color w:val="000000"/>
          <w:szCs w:val="21"/>
          <w:lang w:val="en-US" w:eastAsia="zh-CN"/>
        </w:rPr>
      </w:pPr>
    </w:p>
    <w:p>
      <w:pPr>
        <w:pStyle w:val="3"/>
        <w:pageBreakBefore/>
        <w:spacing w:before="340" w:after="330" w:line="240" w:lineRule="auto"/>
        <w:jc w:val="center"/>
        <w:rPr>
          <w:rFonts w:hint="eastAsia" w:hAnsi="宋体"/>
          <w:color w:val="000000"/>
          <w:szCs w:val="32"/>
        </w:rPr>
      </w:pPr>
      <w:r>
        <w:rPr>
          <w:rFonts w:hint="eastAsia"/>
          <w:b/>
          <w:color w:val="000000"/>
          <w:szCs w:val="21"/>
          <w:lang w:val="en-US" w:eastAsia="zh-CN"/>
        </w:rPr>
        <w:t>四、</w:t>
      </w:r>
      <w:r>
        <w:rPr>
          <w:rFonts w:hint="eastAsia" w:hAnsi="宋体"/>
          <w:color w:val="000000"/>
          <w:szCs w:val="32"/>
        </w:rPr>
        <w:t>招标要求</w:t>
      </w:r>
    </w:p>
    <w:p>
      <w:pPr>
        <w:rPr>
          <w:rFonts w:hint="eastAsia" w:hAnsi="宋体"/>
          <w:b/>
          <w:bCs/>
          <w:color w:val="000000"/>
          <w:sz w:val="28"/>
          <w:szCs w:val="28"/>
          <w:lang w:eastAsia="zh-CN"/>
        </w:rPr>
      </w:pPr>
      <w:r>
        <w:rPr>
          <w:rFonts w:hint="eastAsia" w:hAnsi="宋体"/>
          <w:b/>
          <w:bCs/>
          <w:color w:val="000000"/>
          <w:sz w:val="28"/>
          <w:szCs w:val="28"/>
          <w:lang w:eastAsia="zh-CN"/>
        </w:rPr>
        <w:t>一、项目概况</w:t>
      </w:r>
    </w:p>
    <w:p>
      <w:pPr>
        <w:rPr>
          <w:rFonts w:hint="eastAsia" w:eastAsia="宋体"/>
          <w:b/>
          <w:bCs/>
          <w:sz w:val="24"/>
          <w:szCs w:val="24"/>
          <w:lang w:eastAsia="zh-CN"/>
        </w:rPr>
      </w:pPr>
      <w:r>
        <w:rPr>
          <w:rFonts w:hint="eastAsia" w:hAnsi="宋体"/>
          <w:b/>
          <w:bCs/>
          <w:color w:val="000000"/>
          <w:sz w:val="24"/>
          <w:szCs w:val="24"/>
          <w:lang w:val="en-US" w:eastAsia="zh-CN"/>
        </w:rPr>
        <w:t>1.</w:t>
      </w:r>
      <w:r>
        <w:rPr>
          <w:rFonts w:hint="eastAsia" w:hAnsi="宋体"/>
          <w:b/>
          <w:bCs/>
          <w:color w:val="000000"/>
          <w:sz w:val="24"/>
          <w:szCs w:val="24"/>
          <w:lang w:eastAsia="zh-CN"/>
        </w:rPr>
        <w:t>工程范围：</w:t>
      </w:r>
    </w:p>
    <w:p>
      <w:pPr>
        <w:jc w:val="both"/>
        <w:rPr>
          <w:rFonts w:hint="eastAsia"/>
          <w:color w:val="000000"/>
        </w:rPr>
      </w:pPr>
      <w:r>
        <w:rPr>
          <w:rFonts w:hint="eastAsia"/>
          <w:color w:val="000000"/>
        </w:rPr>
        <w:t>本次工程实施范围主要位于三山经济开发区内，北侧以长江大堤—五华山路一线为界，西至高安片区高安河，南至三华山路—长江南路一线，东至峨山西路及漳河西岸。面积约109.68 平方公里。</w:t>
      </w:r>
    </w:p>
    <w:p>
      <w:pPr>
        <w:pStyle w:val="2"/>
        <w:rPr>
          <w:rFonts w:hint="eastAsia"/>
        </w:rPr>
      </w:pPr>
      <w:r>
        <w:rPr>
          <w:rFonts w:hint="eastAsia"/>
        </w:rPr>
        <w:t>本次招标划分为一个标段，本工程总承包人按照发包人要求的工程规模、功能、主要建设内容、水质和生态目标等，对本项目进行工程总承包建设管理，具体细化为：</w:t>
      </w:r>
    </w:p>
    <w:p>
      <w:pPr>
        <w:pStyle w:val="2"/>
        <w:rPr>
          <w:rFonts w:hint="eastAsia"/>
          <w:highlight w:val="cyan"/>
        </w:rPr>
      </w:pPr>
      <w:r>
        <w:rPr>
          <w:rFonts w:hint="eastAsia"/>
        </w:rPr>
        <w:t>①勘察设计工作：本项目施工需要的勘察、测绘、设</w:t>
      </w:r>
      <w:r>
        <w:rPr>
          <w:rFonts w:hint="eastAsia" w:ascii="宋体" w:hAnsi="Courier New" w:eastAsia="宋体" w:cs="Times New Roman"/>
        </w:rPr>
        <w:t>计；</w:t>
      </w:r>
    </w:p>
    <w:p>
      <w:pPr>
        <w:pStyle w:val="2"/>
        <w:rPr>
          <w:rFonts w:hint="eastAsia"/>
        </w:rPr>
      </w:pPr>
      <w:r>
        <w:rPr>
          <w:rFonts w:hint="eastAsia"/>
        </w:rPr>
        <w:t>②工程采购：包括工程建设所有材料、设备及金属结构采购等；</w:t>
      </w:r>
    </w:p>
    <w:p>
      <w:pPr>
        <w:pStyle w:val="2"/>
        <w:rPr>
          <w:rFonts w:hint="eastAsia"/>
        </w:rPr>
      </w:pPr>
      <w:r>
        <w:rPr>
          <w:rFonts w:hint="eastAsia"/>
        </w:rPr>
        <w:t>③工程施工；</w:t>
      </w:r>
    </w:p>
    <w:p>
      <w:pPr>
        <w:pStyle w:val="2"/>
        <w:rPr>
          <w:rFonts w:hint="eastAsia"/>
        </w:rPr>
      </w:pPr>
      <w:r>
        <w:rPr>
          <w:rFonts w:hint="eastAsia"/>
        </w:rPr>
        <w:t>④达到水质目标后，由中标单位负责</w:t>
      </w:r>
      <w:r>
        <w:rPr>
          <w:rFonts w:hint="eastAsia"/>
          <w:color w:val="0000FF"/>
        </w:rPr>
        <w:t>本项目</w:t>
      </w:r>
      <w:r>
        <w:rPr>
          <w:rFonts w:hint="eastAsia"/>
          <w:color w:val="0000FF"/>
          <w:highlight w:val="none"/>
        </w:rPr>
        <w:t>所有实施内容运营维护，服务期</w:t>
      </w:r>
      <w:r>
        <w:rPr>
          <w:rFonts w:hint="eastAsia"/>
          <w:color w:val="0000FF"/>
          <w:highlight w:val="none"/>
          <w:lang w:val="en-US" w:eastAsia="zh-CN"/>
        </w:rPr>
        <w:t>五</w:t>
      </w:r>
      <w:r>
        <w:rPr>
          <w:rFonts w:hint="eastAsia"/>
          <w:color w:val="0000FF"/>
          <w:highlight w:val="none"/>
        </w:rPr>
        <w:t>年</w:t>
      </w:r>
      <w:r>
        <w:rPr>
          <w:rFonts w:hint="eastAsia"/>
          <w:highlight w:val="none"/>
        </w:rPr>
        <w:t>；</w:t>
      </w:r>
    </w:p>
    <w:p>
      <w:pPr>
        <w:pStyle w:val="2"/>
        <w:rPr>
          <w:rFonts w:hint="eastAsia"/>
        </w:rPr>
      </w:pPr>
    </w:p>
    <w:p>
      <w:pPr>
        <w:pStyle w:val="2"/>
      </w:pPr>
      <w:r>
        <w:drawing>
          <wp:inline distT="0" distB="0" distL="114300" distR="114300">
            <wp:extent cx="6116955" cy="3155315"/>
            <wp:effectExtent l="0" t="0" r="1714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16955" cy="3155315"/>
                    </a:xfrm>
                    <a:prstGeom prst="rect">
                      <a:avLst/>
                    </a:prstGeom>
                    <a:noFill/>
                    <a:ln>
                      <a:noFill/>
                    </a:ln>
                  </pic:spPr>
                </pic:pic>
              </a:graphicData>
            </a:graphic>
          </wp:inline>
        </w:drawing>
      </w:r>
    </w:p>
    <w:p>
      <w:pPr>
        <w:pStyle w:val="2"/>
        <w:jc w:val="center"/>
        <w:rPr>
          <w:rFonts w:hint="eastAsia"/>
          <w:b/>
          <w:bCs/>
        </w:rPr>
      </w:pPr>
      <w:r>
        <w:rPr>
          <w:rFonts w:hint="eastAsia"/>
          <w:b/>
          <w:bCs/>
        </w:rPr>
        <w:t>工程实施</w:t>
      </w:r>
      <w:r>
        <w:rPr>
          <w:rFonts w:hint="eastAsia"/>
          <w:b/>
          <w:bCs/>
          <w:lang w:eastAsia="zh-CN"/>
        </w:rPr>
        <w:t>主要</w:t>
      </w:r>
      <w:r>
        <w:rPr>
          <w:rFonts w:hint="eastAsia"/>
          <w:b/>
          <w:bCs/>
        </w:rPr>
        <w:t>范围图</w:t>
      </w:r>
    </w:p>
    <w:p>
      <w:pPr>
        <w:pStyle w:val="2"/>
        <w:jc w:val="center"/>
        <w:rPr>
          <w:rFonts w:hint="eastAsia"/>
        </w:rPr>
      </w:pPr>
    </w:p>
    <w:p>
      <w:pPr>
        <w:pStyle w:val="2"/>
        <w:rPr>
          <w:rFonts w:hint="eastAsia"/>
          <w:b/>
          <w:bCs/>
          <w:sz w:val="24"/>
          <w:szCs w:val="24"/>
        </w:rPr>
      </w:pPr>
      <w:r>
        <w:rPr>
          <w:rFonts w:hint="eastAsia"/>
          <w:b/>
          <w:bCs/>
          <w:sz w:val="24"/>
          <w:szCs w:val="24"/>
          <w:lang w:val="en-US" w:eastAsia="zh-CN"/>
        </w:rPr>
        <w:t>2.</w:t>
      </w:r>
      <w:r>
        <w:rPr>
          <w:rFonts w:hint="eastAsia"/>
          <w:b/>
          <w:bCs/>
          <w:sz w:val="24"/>
          <w:szCs w:val="24"/>
        </w:rPr>
        <w:t>工程目标</w:t>
      </w:r>
    </w:p>
    <w:p>
      <w:pPr>
        <w:pStyle w:val="2"/>
        <w:rPr>
          <w:rFonts w:hint="eastAsia"/>
          <w:b/>
          <w:bCs/>
          <w:sz w:val="24"/>
          <w:szCs w:val="24"/>
        </w:rPr>
      </w:pPr>
      <w:r>
        <w:rPr>
          <w:rFonts w:hint="eastAsia"/>
          <w:b/>
          <w:bCs/>
          <w:sz w:val="24"/>
          <w:szCs w:val="24"/>
        </w:rPr>
        <w:t>1、总体设计目标</w:t>
      </w:r>
    </w:p>
    <w:p>
      <w:pPr>
        <w:pStyle w:val="2"/>
        <w:rPr>
          <w:rFonts w:hint="eastAsia"/>
        </w:rPr>
      </w:pPr>
      <w:r>
        <w:rPr>
          <w:rFonts w:hint="eastAsia"/>
        </w:rPr>
        <w:t>以建设“生态三山”为目标，打造集“水安全、水循环、水生态、水景观、水经济、运维控制系统”为一体的现代化城市。通过核心建成区水环境综合治理，提升三山经开区整体形象，促进经济发展，实现“碧水畅流、岸绿景美、水绿三山”的美好愿景。</w:t>
      </w:r>
    </w:p>
    <w:p>
      <w:pPr>
        <w:pStyle w:val="2"/>
        <w:rPr>
          <w:rFonts w:hint="eastAsia"/>
        </w:rPr>
      </w:pPr>
    </w:p>
    <w:p>
      <w:pPr>
        <w:pStyle w:val="2"/>
        <w:rPr>
          <w:rFonts w:hint="eastAsia"/>
          <w:b/>
          <w:bCs/>
          <w:sz w:val="24"/>
          <w:szCs w:val="24"/>
        </w:rPr>
      </w:pPr>
      <w:r>
        <w:rPr>
          <w:rFonts w:hint="eastAsia"/>
          <w:b/>
          <w:bCs/>
          <w:sz w:val="24"/>
          <w:szCs w:val="24"/>
          <w:lang w:val="en-US" w:eastAsia="zh-CN"/>
        </w:rPr>
        <w:t>2、</w:t>
      </w:r>
      <w:r>
        <w:rPr>
          <w:rFonts w:hint="eastAsia"/>
          <w:b/>
          <w:bCs/>
          <w:sz w:val="24"/>
          <w:szCs w:val="24"/>
        </w:rPr>
        <w:t>分项设计目标</w:t>
      </w:r>
    </w:p>
    <w:p>
      <w:pPr>
        <w:pStyle w:val="2"/>
        <w:rPr>
          <w:rFonts w:hint="eastAsia"/>
        </w:rPr>
      </w:pPr>
      <w:r>
        <w:rPr>
          <w:rFonts w:hint="eastAsia"/>
        </w:rPr>
        <w:t>（1）水环境工程目标：</w:t>
      </w:r>
    </w:p>
    <w:p>
      <w:pPr>
        <w:pStyle w:val="2"/>
        <w:rPr>
          <w:rFonts w:hint="eastAsia"/>
          <w:lang w:eastAsia="zh-CN"/>
        </w:rPr>
      </w:pPr>
      <w:r>
        <w:rPr>
          <w:rFonts w:hint="eastAsia"/>
        </w:rPr>
        <w:t>现状中心城区建成区水系水质稳定</w:t>
      </w:r>
      <w:r>
        <w:rPr>
          <w:rFonts w:hint="eastAsia"/>
          <w:lang w:eastAsia="zh-CN"/>
        </w:rPr>
        <w:t>达到五类水</w:t>
      </w:r>
      <w:r>
        <w:rPr>
          <w:rFonts w:hint="eastAsia"/>
        </w:rPr>
        <w:t>，</w:t>
      </w:r>
      <w:r>
        <w:rPr>
          <w:rFonts w:hint="eastAsia"/>
          <w:lang w:eastAsia="zh-CN"/>
        </w:rPr>
        <w:t>同时通过日常养护和生态修复恢复自净功能，逐步提升，分类分年度提升至四类水、三类水目标。</w:t>
      </w:r>
    </w:p>
    <w:p>
      <w:pPr>
        <w:pStyle w:val="2"/>
        <w:rPr>
          <w:rFonts w:hint="eastAsia"/>
        </w:rPr>
      </w:pPr>
      <w:r>
        <w:rPr>
          <w:rFonts w:hint="eastAsia"/>
        </w:rPr>
        <w:t>（2）污水提质增效近期目标：建成区通过混接点改造工程和雨污分流工程，消除河道污水直排口，提升河道水质，消除劣Ⅴ类；逐步建立污水管网排查修复机制，通过小区和部分市政管道修复工程，小区出水 COD 浓度旱季达到 300mg/L 以上，雨季达到 250mg/L 以上，提升污水收集系统效能。</w:t>
      </w:r>
    </w:p>
    <w:p>
      <w:pPr>
        <w:pStyle w:val="2"/>
        <w:rPr>
          <w:rFonts w:hint="eastAsia"/>
        </w:rPr>
      </w:pPr>
      <w:r>
        <w:rPr>
          <w:rFonts w:hint="eastAsia"/>
        </w:rPr>
        <w:t>（3）水资源优化调配与活水畅流设计目标：在不影响区域排涝能力的基础上，进一步改善河道水动力、改善流域水生态环境的措施，通过适当提高水体流速，加快水体循环，流速度达到 0.1m/s 左右或换水周期达到 5 天左右，达到“活水保质、优化生态”的目的。当河道水流速度达到 0.1m/s 或换水周期达到 5 天时，活水效果较好，因此本次也将河道水作为水动力改善目标。通过活水系统，增大河道排涝面积、畅通排涝水系，在一定程度上增加河道排涝能力。</w:t>
      </w:r>
    </w:p>
    <w:p>
      <w:pPr>
        <w:pStyle w:val="2"/>
        <w:rPr>
          <w:rFonts w:hint="eastAsia"/>
        </w:rPr>
      </w:pPr>
      <w:r>
        <w:rPr>
          <w:rFonts w:hint="eastAsia"/>
        </w:rPr>
        <w:t>（4）水景观水生态设计目标：</w:t>
      </w:r>
      <w:r>
        <w:rPr>
          <w:rFonts w:hint="eastAsia"/>
          <w:color w:val="0000FF"/>
        </w:rPr>
        <w:t>依托区域自然山水的格局优势，以低影响开发为整体原则，突出当地历史民俗文化特色，通过合理的功能布局与设施布置，打造三山经开区具有示范性、代表性的滨水</w:t>
      </w:r>
      <w:r>
        <w:rPr>
          <w:rFonts w:hint="eastAsia"/>
          <w:color w:val="0000FF"/>
          <w:lang w:eastAsia="zh-CN"/>
        </w:rPr>
        <w:t>景观、恢复水生态</w:t>
      </w:r>
      <w:r>
        <w:rPr>
          <w:rFonts w:hint="eastAsia"/>
          <w:color w:val="0000FF"/>
        </w:rPr>
        <w:t>。</w:t>
      </w:r>
    </w:p>
    <w:p>
      <w:pPr>
        <w:pStyle w:val="2"/>
        <w:rPr>
          <w:rFonts w:hint="eastAsia"/>
        </w:rPr>
      </w:pPr>
      <w:r>
        <w:rPr>
          <w:rFonts w:hint="eastAsia"/>
        </w:rPr>
        <w:t>（5）运维控制系统：实现区域内水质实时在线监测及活水畅流系统自动化控制。</w:t>
      </w:r>
    </w:p>
    <w:p>
      <w:pPr>
        <w:pStyle w:val="2"/>
        <w:rPr>
          <w:rFonts w:hint="eastAsia"/>
        </w:rPr>
      </w:pPr>
    </w:p>
    <w:p>
      <w:pPr>
        <w:pStyle w:val="2"/>
        <w:rPr>
          <w:rFonts w:hint="eastAsia"/>
          <w:b/>
          <w:bCs/>
          <w:sz w:val="24"/>
          <w:szCs w:val="24"/>
        </w:rPr>
      </w:pPr>
      <w:r>
        <w:rPr>
          <w:rFonts w:hint="eastAsia"/>
          <w:b/>
          <w:bCs/>
          <w:sz w:val="24"/>
          <w:szCs w:val="24"/>
        </w:rPr>
        <w:t>3</w:t>
      </w:r>
      <w:r>
        <w:rPr>
          <w:rFonts w:hint="eastAsia"/>
          <w:b/>
          <w:bCs/>
          <w:sz w:val="24"/>
          <w:szCs w:val="24"/>
          <w:lang w:val="en-US" w:eastAsia="zh-CN"/>
        </w:rPr>
        <w:t>.</w:t>
      </w:r>
      <w:r>
        <w:rPr>
          <w:rFonts w:hint="eastAsia"/>
          <w:b/>
          <w:bCs/>
          <w:sz w:val="24"/>
          <w:szCs w:val="24"/>
        </w:rPr>
        <w:t>建设内容</w:t>
      </w:r>
    </w:p>
    <w:p>
      <w:pPr>
        <w:pStyle w:val="2"/>
        <w:rPr>
          <w:rFonts w:hint="eastAsia"/>
          <w:b/>
          <w:bCs/>
        </w:rPr>
      </w:pPr>
      <w:r>
        <w:rPr>
          <w:rFonts w:hint="eastAsia"/>
          <w:b/>
          <w:bCs/>
          <w:lang w:val="en-US" w:eastAsia="zh-CN"/>
        </w:rPr>
        <w:t>3.1.1</w:t>
      </w:r>
      <w:r>
        <w:rPr>
          <w:rFonts w:hint="eastAsia"/>
          <w:b/>
          <w:bCs/>
        </w:rPr>
        <w:t>水环境工程</w:t>
      </w:r>
    </w:p>
    <w:p>
      <w:pPr>
        <w:pStyle w:val="2"/>
        <w:rPr>
          <w:rFonts w:hint="eastAsia"/>
        </w:rPr>
      </w:pPr>
      <w:r>
        <w:rPr>
          <w:rFonts w:hint="eastAsia"/>
        </w:rPr>
        <w:t>主要包括点源治理工程、河道内源治理工程、面源污染控制工程，具体如下：</w:t>
      </w:r>
    </w:p>
    <w:p>
      <w:pPr>
        <w:pStyle w:val="2"/>
        <w:rPr>
          <w:rFonts w:hint="eastAsia"/>
        </w:rPr>
      </w:pPr>
      <w:r>
        <w:rPr>
          <w:rFonts w:hint="eastAsia"/>
        </w:rPr>
        <w:t>（1）点源治理工程：</w:t>
      </w:r>
    </w:p>
    <w:p>
      <w:pPr>
        <w:pStyle w:val="2"/>
        <w:rPr>
          <w:rFonts w:hint="eastAsia"/>
          <w:color w:val="0000FF"/>
        </w:rPr>
      </w:pPr>
      <w:r>
        <w:rPr>
          <w:rFonts w:hint="eastAsia"/>
        </w:rPr>
        <w:t>通过河道排口溯源排查工作，摸清管网问题节点与污染来源，对排口实施“一口一策”</w:t>
      </w:r>
      <w:r>
        <w:rPr>
          <w:rFonts w:hint="eastAsia"/>
          <w:lang w:eastAsia="zh-CN"/>
        </w:rPr>
        <w:t>彻底雨污分流</w:t>
      </w:r>
      <w:r>
        <w:rPr>
          <w:rFonts w:hint="eastAsia"/>
          <w:color w:val="0000FF"/>
        </w:rPr>
        <w:t>。</w:t>
      </w:r>
    </w:p>
    <w:p>
      <w:pPr>
        <w:pStyle w:val="2"/>
        <w:rPr>
          <w:rFonts w:hint="eastAsia"/>
        </w:rPr>
      </w:pPr>
      <w:r>
        <w:rPr>
          <w:rFonts w:hint="eastAsia"/>
        </w:rPr>
        <w:t>（2）存量污水管修复工程（市政+小区）</w:t>
      </w:r>
    </w:p>
    <w:p>
      <w:pPr>
        <w:pStyle w:val="2"/>
        <w:rPr>
          <w:rFonts w:hint="eastAsia"/>
        </w:rPr>
      </w:pPr>
      <w:r>
        <w:rPr>
          <w:rFonts w:hint="eastAsia"/>
        </w:rPr>
        <w:t xml:space="preserve">通过对现有排水管网普查与健康检测，摸清管网问题与污染来源，完善存量污水管道，修复滨江片区污水管道 </w:t>
      </w:r>
      <w:r>
        <w:rPr>
          <w:rFonts w:hint="eastAsia"/>
          <w:lang w:eastAsia="zh-CN"/>
        </w:rPr>
        <w:t>、</w:t>
      </w:r>
      <w:r>
        <w:rPr>
          <w:rFonts w:hint="eastAsia"/>
        </w:rPr>
        <w:t>高安片区污水管道</w:t>
      </w:r>
      <w:r>
        <w:rPr>
          <w:rFonts w:hint="eastAsia"/>
          <w:lang w:eastAsia="zh-CN"/>
        </w:rPr>
        <w:t>对考核水系和生态环境造成严重影响的市政道路污水管网，</w:t>
      </w:r>
      <w:r>
        <w:rPr>
          <w:rFonts w:hint="eastAsia"/>
        </w:rPr>
        <w:t>清淤检测小区地块管道，修复小区管道 。</w:t>
      </w:r>
    </w:p>
    <w:p>
      <w:pPr>
        <w:pStyle w:val="2"/>
        <w:rPr>
          <w:rFonts w:hint="eastAsia"/>
          <w:b/>
          <w:bCs/>
        </w:rPr>
      </w:pPr>
      <w:r>
        <w:rPr>
          <w:rFonts w:hint="eastAsia"/>
          <w:b/>
          <w:bCs/>
          <w:lang w:val="en-US" w:eastAsia="zh-CN"/>
        </w:rPr>
        <w:t>3.1.2</w:t>
      </w:r>
      <w:r>
        <w:rPr>
          <w:rFonts w:hint="eastAsia"/>
          <w:b/>
          <w:bCs/>
        </w:rPr>
        <w:t>水利工程</w:t>
      </w:r>
    </w:p>
    <w:p>
      <w:pPr>
        <w:pStyle w:val="2"/>
        <w:rPr>
          <w:rFonts w:hint="eastAsia"/>
        </w:rPr>
      </w:pPr>
      <w:r>
        <w:rPr>
          <w:rFonts w:hint="eastAsia"/>
        </w:rPr>
        <w:t>水利工程部分主要包括防洪排涝工程、泵站工程、水闸工程、河道连通工程、清淤疏浚工程。具体如下：</w:t>
      </w:r>
    </w:p>
    <w:p>
      <w:pPr>
        <w:pStyle w:val="2"/>
        <w:rPr>
          <w:rFonts w:hint="eastAsia"/>
        </w:rPr>
      </w:pPr>
      <w:r>
        <w:rPr>
          <w:rFonts w:hint="eastAsia"/>
        </w:rPr>
        <w:t>（1）防洪排涝工程：</w:t>
      </w:r>
    </w:p>
    <w:p>
      <w:pPr>
        <w:pStyle w:val="2"/>
        <w:rPr>
          <w:rFonts w:hint="eastAsia"/>
        </w:rPr>
      </w:pPr>
      <w:r>
        <w:rPr>
          <w:rFonts w:hint="eastAsia"/>
        </w:rPr>
        <w:t>本次无新增工程。</w:t>
      </w:r>
    </w:p>
    <w:p>
      <w:pPr>
        <w:pStyle w:val="2"/>
        <w:rPr>
          <w:rFonts w:hint="eastAsia" w:eastAsia="宋体"/>
          <w:lang w:eastAsia="zh-CN"/>
        </w:rPr>
      </w:pPr>
      <w:r>
        <w:rPr>
          <w:rFonts w:hint="eastAsia"/>
        </w:rPr>
        <w:t>（2）泵站工程</w:t>
      </w:r>
      <w:r>
        <w:rPr>
          <w:rFonts w:hint="eastAsia"/>
          <w:lang w:eastAsia="zh-CN"/>
        </w:rPr>
        <w:t>：</w:t>
      </w:r>
    </w:p>
    <w:p>
      <w:pPr>
        <w:pStyle w:val="2"/>
        <w:rPr>
          <w:rFonts w:hint="eastAsia"/>
        </w:rPr>
      </w:pPr>
      <w:r>
        <w:rPr>
          <w:rFonts w:hint="eastAsia"/>
        </w:rPr>
        <w:t>新建 3 座泵站。其中，长江引水泵站为活水畅流补水总水源的取水工程，设计流量 5.3m3/s，主要由取水头部、进水管、前池、泵房、出水管几部分组成。龙湖新城提水泵站为龙湖新城内河补水水源的取水工程，设计流量 0.1 m3/s，采用地埋式一体化泵房，主要由集水井、泵筒、阀门井组成。朱沟排水泵站为高安街道南圩沟、南圩支沟（白象小区）补水水源的取水工程，设计流量 0.5 m3/s，采用地埋式一体化泵房，主要由集水井、泵筒、阀门井组成。</w:t>
      </w:r>
    </w:p>
    <w:p>
      <w:pPr>
        <w:pStyle w:val="2"/>
        <w:rPr>
          <w:rFonts w:hint="eastAsia"/>
        </w:rPr>
      </w:pPr>
      <w:r>
        <w:rPr>
          <w:rFonts w:hint="eastAsia"/>
        </w:rPr>
        <w:t>（3）水闸工程：新建进水闸 3 座：保定河进水闸、南圩沟进水闸、油坊支沟进水闸。保定河进水闸进水流量 2m3/s，闸址位于保定圩圈堤下江坝~上江坝段原西站闸出水涵处，从小江引水至保定圩进行补水；南圩沟进水闸进水流量 0.2m3/s，闸址位于谷家河与南圩沟交界处，从谷家河引水至南圩沟；油坊支沟进水闸位于油坊沟与油坊支沟交界处，从油坊沟引水至油坊支沟。</w:t>
      </w:r>
    </w:p>
    <w:p>
      <w:pPr>
        <w:pStyle w:val="2"/>
        <w:rPr>
          <w:rFonts w:hint="eastAsia"/>
        </w:rPr>
      </w:pPr>
      <w:r>
        <w:rPr>
          <w:rFonts w:hint="eastAsia"/>
        </w:rPr>
        <w:t>（4）河道连通工程：</w:t>
      </w:r>
    </w:p>
    <w:p>
      <w:pPr>
        <w:pStyle w:val="2"/>
        <w:rPr>
          <w:rFonts w:hint="eastAsia"/>
        </w:rPr>
      </w:pPr>
      <w:r>
        <w:rPr>
          <w:rFonts w:hint="eastAsia"/>
        </w:rPr>
        <w:t>通过开挖沟渠、新建顶管等水系连通工程实施，沟通三山经开区内部水系，增强水体流动性。本次工程新建顶管 2.04km，其中，龙塘路顶管 1.2km，荷形路明渠及芜繁路明渠连通顶管 0.72km，南圩沟顶管 0.12km。</w:t>
      </w:r>
    </w:p>
    <w:p>
      <w:pPr>
        <w:pStyle w:val="2"/>
        <w:rPr>
          <w:rFonts w:hint="eastAsia"/>
        </w:rPr>
      </w:pPr>
      <w:r>
        <w:rPr>
          <w:rFonts w:hint="eastAsia"/>
        </w:rPr>
        <w:t>（5）清淤疏浚工程：</w:t>
      </w:r>
    </w:p>
    <w:p>
      <w:pPr>
        <w:pStyle w:val="2"/>
        <w:rPr>
          <w:rFonts w:hint="eastAsia"/>
        </w:rPr>
      </w:pPr>
      <w:r>
        <w:rPr>
          <w:rFonts w:hint="eastAsia"/>
        </w:rPr>
        <w:t>本次对荷形路明渠、芜繁路明渠 2 处沟渠进行清淤疏浚，总长 5.36km，其中荷形路明渠2.86km，芜繁路明渠 2.50km。</w:t>
      </w:r>
    </w:p>
    <w:p>
      <w:pPr>
        <w:pStyle w:val="2"/>
        <w:rPr>
          <w:rFonts w:hint="eastAsia"/>
          <w:b/>
          <w:bCs/>
        </w:rPr>
      </w:pPr>
      <w:r>
        <w:rPr>
          <w:rFonts w:hint="eastAsia"/>
          <w:b/>
          <w:bCs/>
          <w:lang w:val="en-US" w:eastAsia="zh-CN"/>
        </w:rPr>
        <w:t>3.1.3</w:t>
      </w:r>
      <w:r>
        <w:rPr>
          <w:rFonts w:hint="eastAsia"/>
          <w:b/>
          <w:bCs/>
        </w:rPr>
        <w:t>水生态景观工程</w:t>
      </w:r>
    </w:p>
    <w:p>
      <w:pPr>
        <w:pStyle w:val="2"/>
        <w:rPr>
          <w:rFonts w:hint="eastAsia"/>
        </w:rPr>
      </w:pPr>
      <w:r>
        <w:rPr>
          <w:rFonts w:hint="eastAsia"/>
        </w:rPr>
        <w:t>根据城市近期建设规划、三山经开区水环境综合治理规划方案等相关上位规划，结合三山经开区现状滨水绿化情况，主要建设内容包括滨水生态景观节点工程和专项工程。</w:t>
      </w:r>
    </w:p>
    <w:p>
      <w:pPr>
        <w:pStyle w:val="2"/>
        <w:rPr>
          <w:rFonts w:hint="eastAsia"/>
          <w:b/>
          <w:bCs/>
        </w:rPr>
      </w:pPr>
      <w:r>
        <w:rPr>
          <w:rFonts w:hint="eastAsia"/>
          <w:b/>
          <w:bCs/>
          <w:lang w:val="en-US" w:eastAsia="zh-CN"/>
        </w:rPr>
        <w:t>3.1.4</w:t>
      </w:r>
      <w:r>
        <w:rPr>
          <w:rFonts w:hint="eastAsia"/>
          <w:b/>
          <w:bCs/>
        </w:rPr>
        <w:t>运维控制系统工程</w:t>
      </w:r>
    </w:p>
    <w:p>
      <w:pPr>
        <w:pStyle w:val="2"/>
      </w:pPr>
      <w:r>
        <w:rPr>
          <w:rFonts w:hint="eastAsia"/>
        </w:rPr>
        <w:t>水质在线监测系统、活水畅流闸泵自动控制系统及水位在线监测系统。</w:t>
      </w:r>
    </w:p>
    <w:p>
      <w:pPr>
        <w:pStyle w:val="2"/>
        <w:rPr>
          <w:rFonts w:hint="eastAsia"/>
          <w:b/>
          <w:bCs/>
          <w:lang w:eastAsia="zh-CN"/>
        </w:rPr>
      </w:pPr>
      <w:r>
        <w:rPr>
          <w:rFonts w:hint="eastAsia"/>
          <w:b/>
          <w:bCs/>
          <w:lang w:eastAsia="zh-CN"/>
        </w:rPr>
        <w:t>备注：上述实施内容及可研均为下步实施内容提供参考，投标人可根据现场调查情况提出优化意见或建议。</w:t>
      </w:r>
    </w:p>
    <w:p>
      <w:pPr>
        <w:pStyle w:val="2"/>
        <w:rPr>
          <w:rFonts w:hint="eastAsia"/>
          <w:b/>
          <w:bCs/>
          <w:sz w:val="28"/>
          <w:szCs w:val="28"/>
        </w:rPr>
      </w:pPr>
      <w:r>
        <w:rPr>
          <w:rFonts w:hint="eastAsia"/>
          <w:b/>
          <w:bCs/>
          <w:sz w:val="28"/>
          <w:szCs w:val="28"/>
          <w:lang w:eastAsia="zh-CN"/>
        </w:rPr>
        <w:t>二、</w:t>
      </w:r>
      <w:r>
        <w:rPr>
          <w:rFonts w:hint="eastAsia"/>
          <w:b/>
          <w:bCs/>
          <w:sz w:val="28"/>
          <w:szCs w:val="28"/>
        </w:rPr>
        <w:t>项目实施计划</w:t>
      </w:r>
    </w:p>
    <w:p>
      <w:pPr>
        <w:pStyle w:val="2"/>
        <w:rPr>
          <w:rFonts w:hint="eastAsia" w:eastAsia="宋体"/>
          <w:b/>
          <w:bCs/>
          <w:sz w:val="24"/>
          <w:szCs w:val="24"/>
          <w:lang w:eastAsia="zh-CN"/>
        </w:rPr>
      </w:pPr>
      <w:r>
        <w:rPr>
          <w:rFonts w:hint="eastAsia"/>
          <w:b/>
          <w:bCs/>
          <w:sz w:val="24"/>
          <w:szCs w:val="24"/>
        </w:rPr>
        <w:t>1</w:t>
      </w:r>
      <w:r>
        <w:rPr>
          <w:rFonts w:hint="eastAsia"/>
          <w:b/>
          <w:bCs/>
          <w:sz w:val="24"/>
          <w:szCs w:val="24"/>
          <w:lang w:eastAsia="zh-CN"/>
        </w:rPr>
        <w:t>、</w:t>
      </w:r>
      <w:r>
        <w:rPr>
          <w:rFonts w:hint="eastAsia"/>
          <w:b/>
          <w:bCs/>
          <w:sz w:val="24"/>
          <w:szCs w:val="24"/>
        </w:rPr>
        <w:t>实施</w:t>
      </w:r>
      <w:r>
        <w:rPr>
          <w:rFonts w:hint="eastAsia"/>
          <w:b/>
          <w:bCs/>
          <w:sz w:val="24"/>
          <w:szCs w:val="24"/>
          <w:lang w:eastAsia="zh-CN"/>
        </w:rPr>
        <w:t>要求</w:t>
      </w:r>
    </w:p>
    <w:p>
      <w:pPr>
        <w:pStyle w:val="2"/>
        <w:rPr>
          <w:rFonts w:hint="eastAsia" w:eastAsia="宋体"/>
          <w:lang w:eastAsia="zh-CN"/>
        </w:rPr>
      </w:pPr>
      <w:r>
        <w:rPr>
          <w:rFonts w:hint="eastAsia"/>
          <w:lang w:eastAsia="zh-CN"/>
        </w:rPr>
        <w:t>三山经开区水系水环境综合治理工程</w:t>
      </w:r>
      <w:r>
        <w:rPr>
          <w:rFonts w:hint="eastAsia"/>
        </w:rPr>
        <w:t>涉及范围大，专业项目多，系统性强。建设进度方面有序实施完成控源截污工程、活水畅流工程、清淤疏浚工程，然后再实施生态景观工程和智慧水务工程</w:t>
      </w:r>
      <w:r>
        <w:rPr>
          <w:rFonts w:hint="eastAsia"/>
          <w:lang w:eastAsia="zh-CN"/>
        </w:rPr>
        <w:t>。</w:t>
      </w:r>
    </w:p>
    <w:p>
      <w:pPr>
        <w:pStyle w:val="2"/>
        <w:rPr>
          <w:rFonts w:hint="eastAsia"/>
          <w:b/>
          <w:bCs/>
          <w:sz w:val="24"/>
          <w:szCs w:val="24"/>
        </w:rPr>
      </w:pPr>
      <w:r>
        <w:rPr>
          <w:rFonts w:hint="eastAsia"/>
          <w:b/>
          <w:bCs/>
          <w:sz w:val="24"/>
          <w:szCs w:val="24"/>
        </w:rPr>
        <w:t>2</w:t>
      </w:r>
      <w:r>
        <w:rPr>
          <w:rFonts w:hint="eastAsia"/>
          <w:b/>
          <w:bCs/>
          <w:sz w:val="24"/>
          <w:szCs w:val="24"/>
          <w:lang w:eastAsia="zh-CN"/>
        </w:rPr>
        <w:t>、</w:t>
      </w:r>
      <w:r>
        <w:rPr>
          <w:rFonts w:hint="eastAsia"/>
          <w:b/>
          <w:bCs/>
          <w:sz w:val="24"/>
          <w:szCs w:val="24"/>
        </w:rPr>
        <w:t>实施步骤</w:t>
      </w:r>
    </w:p>
    <w:p>
      <w:pPr>
        <w:pStyle w:val="2"/>
        <w:rPr>
          <w:rFonts w:hint="eastAsia"/>
        </w:rPr>
      </w:pPr>
      <w:r>
        <w:rPr>
          <w:rFonts w:hint="eastAsia"/>
        </w:rPr>
        <w:t xml:space="preserve">项目建设施工工期为 </w:t>
      </w:r>
      <w:r>
        <w:rPr>
          <w:rFonts w:hint="eastAsia"/>
          <w:b/>
          <w:bCs/>
          <w:color w:val="0000FF"/>
          <w:lang w:val="en-US" w:eastAsia="zh-CN"/>
        </w:rPr>
        <w:t>900</w:t>
      </w:r>
      <w:r>
        <w:rPr>
          <w:rFonts w:hint="eastAsia"/>
        </w:rPr>
        <w:t xml:space="preserve"> 个</w:t>
      </w:r>
      <w:r>
        <w:rPr>
          <w:rFonts w:hint="eastAsia"/>
          <w:lang w:eastAsia="zh-CN"/>
        </w:rPr>
        <w:t>日历天</w:t>
      </w:r>
      <w:r>
        <w:rPr>
          <w:rFonts w:hint="eastAsia"/>
        </w:rPr>
        <w:t xml:space="preserve">，即从 2022 年 </w:t>
      </w:r>
      <w:r>
        <w:rPr>
          <w:rFonts w:hint="eastAsia"/>
          <w:lang w:val="en-US" w:eastAsia="zh-CN"/>
        </w:rPr>
        <w:t>8</w:t>
      </w:r>
      <w:r>
        <w:rPr>
          <w:rFonts w:hint="eastAsia"/>
        </w:rPr>
        <w:t xml:space="preserve"> 月至 202</w:t>
      </w:r>
      <w:r>
        <w:rPr>
          <w:rFonts w:hint="eastAsia"/>
          <w:lang w:val="en-US" w:eastAsia="zh-CN"/>
        </w:rPr>
        <w:t>5</w:t>
      </w:r>
      <w:r>
        <w:rPr>
          <w:rFonts w:hint="eastAsia"/>
        </w:rPr>
        <w:t xml:space="preserve"> 年 2 月。施工程序中的各项目区的工程进度按计划表严格执行，由监理公司负责监理工程质量，并履行现场监督职责，施工单位必须严格按照单项工程工期安排，精心组织施工。</w:t>
      </w:r>
    </w:p>
    <w:p>
      <w:pPr>
        <w:pStyle w:val="2"/>
        <w:rPr>
          <w:rFonts w:hint="eastAsia"/>
        </w:rPr>
      </w:pPr>
      <w:r>
        <w:rPr>
          <w:rFonts w:hint="eastAsia"/>
        </w:rPr>
        <w:t xml:space="preserve">（1）计划 2022 年 </w:t>
      </w:r>
      <w:r>
        <w:rPr>
          <w:rFonts w:hint="eastAsia"/>
          <w:b/>
          <w:bCs/>
          <w:color w:val="0000FF"/>
          <w:lang w:val="en-US" w:eastAsia="zh-CN"/>
        </w:rPr>
        <w:t>7</w:t>
      </w:r>
      <w:r>
        <w:rPr>
          <w:rFonts w:hint="eastAsia"/>
        </w:rPr>
        <w:t xml:space="preserve"> 月完成项目招投标及施工前期准备工作；</w:t>
      </w:r>
    </w:p>
    <w:p>
      <w:pPr>
        <w:pStyle w:val="2"/>
        <w:rPr>
          <w:rFonts w:hint="eastAsia"/>
        </w:rPr>
      </w:pPr>
      <w:r>
        <w:rPr>
          <w:rFonts w:hint="eastAsia"/>
        </w:rPr>
        <w:t xml:space="preserve">（2）2022 年 </w:t>
      </w:r>
      <w:r>
        <w:rPr>
          <w:rFonts w:hint="eastAsia"/>
          <w:b/>
          <w:bCs/>
          <w:color w:val="0000FF"/>
          <w:lang w:val="en-US" w:eastAsia="zh-CN"/>
        </w:rPr>
        <w:t>8</w:t>
      </w:r>
      <w:r>
        <w:rPr>
          <w:rFonts w:hint="eastAsia"/>
        </w:rPr>
        <w:t xml:space="preserve"> 月-20</w:t>
      </w:r>
      <w:r>
        <w:rPr>
          <w:rFonts w:hint="eastAsia"/>
          <w:lang w:val="en-US" w:eastAsia="zh-CN"/>
        </w:rPr>
        <w:t>22</w:t>
      </w:r>
      <w:r>
        <w:rPr>
          <w:rFonts w:hint="eastAsia"/>
        </w:rPr>
        <w:t xml:space="preserve"> 年 </w:t>
      </w:r>
      <w:r>
        <w:rPr>
          <w:rFonts w:hint="eastAsia"/>
          <w:b/>
          <w:bCs/>
          <w:color w:val="0000FF"/>
          <w:lang w:val="en-US" w:eastAsia="zh-CN"/>
        </w:rPr>
        <w:t>11</w:t>
      </w:r>
      <w:r>
        <w:rPr>
          <w:rFonts w:hint="eastAsia"/>
        </w:rPr>
        <w:t xml:space="preserve"> 月完成设计的所有工程内容；</w:t>
      </w:r>
    </w:p>
    <w:p>
      <w:pPr>
        <w:pStyle w:val="2"/>
        <w:rPr>
          <w:rFonts w:hint="eastAsia"/>
        </w:rPr>
      </w:pPr>
      <w:r>
        <w:rPr>
          <w:rFonts w:hint="eastAsia"/>
        </w:rPr>
        <w:t>（3）202</w:t>
      </w:r>
      <w:r>
        <w:rPr>
          <w:rFonts w:hint="eastAsia"/>
          <w:lang w:val="en-US" w:eastAsia="zh-CN"/>
        </w:rPr>
        <w:t>5</w:t>
      </w:r>
      <w:r>
        <w:rPr>
          <w:rFonts w:hint="eastAsia"/>
        </w:rPr>
        <w:t xml:space="preserve"> 年 </w:t>
      </w:r>
      <w:r>
        <w:rPr>
          <w:rFonts w:hint="eastAsia"/>
          <w:lang w:val="en-US" w:eastAsia="zh-CN"/>
        </w:rPr>
        <w:t>2</w:t>
      </w:r>
      <w:r>
        <w:rPr>
          <w:rFonts w:hint="eastAsia"/>
        </w:rPr>
        <w:t xml:space="preserve"> 月底完成项目竣工验收。</w:t>
      </w:r>
    </w:p>
    <w:p>
      <w:pPr>
        <w:pStyle w:val="2"/>
        <w:numPr>
          <w:ilvl w:val="0"/>
          <w:numId w:val="3"/>
        </w:numPr>
        <w:rPr>
          <w:rFonts w:hint="eastAsia"/>
          <w:b/>
          <w:bCs/>
          <w:sz w:val="28"/>
          <w:szCs w:val="28"/>
          <w:lang w:eastAsia="zh-CN"/>
        </w:rPr>
      </w:pPr>
      <w:r>
        <w:rPr>
          <w:rFonts w:hint="eastAsia"/>
          <w:b/>
          <w:bCs/>
          <w:sz w:val="28"/>
          <w:szCs w:val="28"/>
          <w:lang w:eastAsia="zh-CN"/>
        </w:rPr>
        <w:t>勘察任务要求</w:t>
      </w:r>
    </w:p>
    <w:p>
      <w:pPr>
        <w:pStyle w:val="2"/>
        <w:numPr>
          <w:ilvl w:val="0"/>
          <w:numId w:val="0"/>
        </w:numPr>
        <w:ind w:firstLine="210" w:firstLineChars="100"/>
        <w:rPr>
          <w:rFonts w:hint="eastAsia"/>
          <w:b/>
          <w:bCs/>
          <w:sz w:val="24"/>
          <w:szCs w:val="24"/>
          <w:lang w:eastAsia="zh-CN"/>
        </w:rPr>
      </w:pPr>
      <w:r>
        <w:rPr>
          <w:rFonts w:hint="eastAsia"/>
          <w:b w:val="0"/>
          <w:bCs w:val="0"/>
          <w:sz w:val="21"/>
          <w:szCs w:val="21"/>
          <w:lang w:eastAsia="zh-CN"/>
        </w:rPr>
        <w:t>本次勘察范围主要包括本工程水系连通泵站及涵闸的进行工程地质勘察工作。</w:t>
      </w:r>
    </w:p>
    <w:p>
      <w:pPr>
        <w:pStyle w:val="2"/>
        <w:numPr>
          <w:ilvl w:val="0"/>
          <w:numId w:val="0"/>
        </w:numPr>
        <w:ind w:firstLine="210" w:firstLineChars="100"/>
        <w:rPr>
          <w:rFonts w:hint="eastAsia"/>
          <w:b w:val="0"/>
          <w:bCs w:val="0"/>
          <w:sz w:val="21"/>
          <w:szCs w:val="21"/>
          <w:lang w:eastAsia="zh-CN"/>
        </w:rPr>
      </w:pPr>
      <w:r>
        <w:rPr>
          <w:rFonts w:hint="eastAsia"/>
          <w:b w:val="0"/>
          <w:bCs w:val="0"/>
          <w:sz w:val="21"/>
          <w:szCs w:val="21"/>
          <w:lang w:val="en-US" w:eastAsia="zh-CN"/>
        </w:rPr>
        <w:t>1.</w:t>
      </w:r>
      <w:r>
        <w:rPr>
          <w:rFonts w:hint="eastAsia"/>
          <w:b w:val="0"/>
          <w:bCs w:val="0"/>
          <w:sz w:val="21"/>
          <w:szCs w:val="21"/>
          <w:lang w:eastAsia="zh-CN"/>
        </w:rPr>
        <w:t>描述拟建场地的地形地貌、重点查清站址处的地基土层分布和特征，明确场地地震设防烈度等。</w:t>
      </w:r>
    </w:p>
    <w:p>
      <w:pPr>
        <w:pStyle w:val="2"/>
        <w:numPr>
          <w:ilvl w:val="0"/>
          <w:numId w:val="0"/>
        </w:numPr>
        <w:rPr>
          <w:rFonts w:hint="eastAsia"/>
          <w:b w:val="0"/>
          <w:bCs w:val="0"/>
          <w:sz w:val="21"/>
          <w:szCs w:val="21"/>
          <w:lang w:eastAsia="zh-CN"/>
        </w:rPr>
      </w:pPr>
      <w:r>
        <w:rPr>
          <w:rFonts w:hint="eastAsia"/>
          <w:b w:val="0"/>
          <w:bCs w:val="0"/>
          <w:sz w:val="21"/>
          <w:szCs w:val="21"/>
          <w:lang w:eastAsia="zh-CN"/>
        </w:rPr>
        <w:t></w:t>
      </w:r>
      <w:r>
        <w:rPr>
          <w:rFonts w:hint="eastAsia"/>
          <w:b w:val="0"/>
          <w:bCs w:val="0"/>
          <w:sz w:val="21"/>
          <w:szCs w:val="21"/>
          <w:lang w:val="en-US" w:eastAsia="zh-CN"/>
        </w:rPr>
        <w:t>2.</w:t>
      </w:r>
      <w:r>
        <w:rPr>
          <w:rFonts w:hint="eastAsia"/>
          <w:b w:val="0"/>
          <w:bCs w:val="0"/>
          <w:sz w:val="21"/>
          <w:szCs w:val="21"/>
          <w:lang w:eastAsia="zh-CN"/>
        </w:rPr>
        <w:t>根据现场原位测试和室内试验，给出各土层的主要物理力学建议指标表（含水率、重度、承载力特征值、压缩模量、粘聚力、内摩擦角、渗透系数等）。</w:t>
      </w:r>
    </w:p>
    <w:p>
      <w:pPr>
        <w:pStyle w:val="2"/>
        <w:numPr>
          <w:ilvl w:val="0"/>
          <w:numId w:val="0"/>
        </w:numPr>
        <w:rPr>
          <w:rFonts w:hint="eastAsia"/>
          <w:b w:val="0"/>
          <w:bCs w:val="0"/>
          <w:sz w:val="21"/>
          <w:szCs w:val="21"/>
          <w:lang w:eastAsia="zh-CN"/>
        </w:rPr>
      </w:pPr>
      <w:r>
        <w:rPr>
          <w:rFonts w:hint="eastAsia"/>
          <w:b w:val="0"/>
          <w:bCs w:val="0"/>
          <w:sz w:val="21"/>
          <w:szCs w:val="21"/>
          <w:lang w:eastAsia="zh-CN"/>
        </w:rPr>
        <w:t></w:t>
      </w:r>
      <w:r>
        <w:rPr>
          <w:rFonts w:hint="eastAsia"/>
          <w:b w:val="0"/>
          <w:bCs w:val="0"/>
          <w:sz w:val="21"/>
          <w:szCs w:val="21"/>
          <w:lang w:val="en-US" w:eastAsia="zh-CN"/>
        </w:rPr>
        <w:t>3.</w:t>
      </w:r>
      <w:r>
        <w:rPr>
          <w:rFonts w:hint="eastAsia"/>
          <w:b w:val="0"/>
          <w:bCs w:val="0"/>
          <w:sz w:val="21"/>
          <w:szCs w:val="21"/>
          <w:lang w:eastAsia="zh-CN"/>
        </w:rPr>
        <w:t>给出常用桩基础（粉喷桩、搅拌桩、管桩等）的侧阻力特征值、端阻力特征值。</w:t>
      </w:r>
    </w:p>
    <w:p>
      <w:pPr>
        <w:pStyle w:val="2"/>
        <w:numPr>
          <w:ilvl w:val="0"/>
          <w:numId w:val="0"/>
        </w:numPr>
        <w:rPr>
          <w:rFonts w:hint="eastAsia"/>
          <w:b w:val="0"/>
          <w:bCs w:val="0"/>
          <w:sz w:val="21"/>
          <w:szCs w:val="21"/>
          <w:lang w:eastAsia="zh-CN"/>
        </w:rPr>
      </w:pPr>
      <w:r>
        <w:rPr>
          <w:rFonts w:hint="eastAsia"/>
          <w:b w:val="0"/>
          <w:bCs w:val="0"/>
          <w:sz w:val="21"/>
          <w:szCs w:val="21"/>
          <w:lang w:eastAsia="zh-CN"/>
        </w:rPr>
        <w:t></w:t>
      </w:r>
      <w:r>
        <w:rPr>
          <w:rFonts w:hint="eastAsia"/>
          <w:b w:val="0"/>
          <w:bCs w:val="0"/>
          <w:sz w:val="21"/>
          <w:szCs w:val="21"/>
          <w:lang w:val="en-US" w:eastAsia="zh-CN"/>
        </w:rPr>
        <w:t>4.</w:t>
      </w:r>
      <w:r>
        <w:rPr>
          <w:rFonts w:hint="eastAsia"/>
          <w:b w:val="0"/>
          <w:bCs w:val="0"/>
          <w:sz w:val="21"/>
          <w:szCs w:val="21"/>
          <w:lang w:eastAsia="zh-CN"/>
        </w:rPr>
        <w:t>水文地质评价和工程地质评价，提出地基处理措施。</w:t>
      </w:r>
    </w:p>
    <w:p>
      <w:pPr>
        <w:pStyle w:val="2"/>
        <w:numPr>
          <w:ilvl w:val="0"/>
          <w:numId w:val="0"/>
        </w:numPr>
        <w:rPr>
          <w:rFonts w:hint="eastAsia"/>
          <w:b w:val="0"/>
          <w:bCs w:val="0"/>
          <w:sz w:val="21"/>
          <w:szCs w:val="21"/>
          <w:lang w:eastAsia="zh-CN"/>
        </w:rPr>
      </w:pPr>
      <w:r>
        <w:rPr>
          <w:rFonts w:hint="eastAsia"/>
          <w:b w:val="0"/>
          <w:bCs w:val="0"/>
          <w:sz w:val="21"/>
          <w:szCs w:val="21"/>
          <w:lang w:eastAsia="zh-CN"/>
        </w:rPr>
        <w:t></w:t>
      </w:r>
      <w:r>
        <w:rPr>
          <w:rFonts w:hint="eastAsia"/>
          <w:b w:val="0"/>
          <w:bCs w:val="0"/>
          <w:sz w:val="21"/>
          <w:szCs w:val="21"/>
          <w:lang w:val="en-US" w:eastAsia="zh-CN"/>
        </w:rPr>
        <w:t>5.</w:t>
      </w:r>
      <w:r>
        <w:rPr>
          <w:rFonts w:hint="eastAsia"/>
          <w:b w:val="0"/>
          <w:bCs w:val="0"/>
          <w:sz w:val="21"/>
          <w:szCs w:val="21"/>
          <w:lang w:eastAsia="zh-CN"/>
        </w:rPr>
        <w:t>绘制钻孔平面位置图、地质剖面图。</w:t>
      </w:r>
    </w:p>
    <w:p>
      <w:pPr>
        <w:pStyle w:val="2"/>
        <w:numPr>
          <w:ilvl w:val="0"/>
          <w:numId w:val="0"/>
        </w:numPr>
        <w:rPr>
          <w:rFonts w:hint="eastAsia"/>
          <w:b w:val="0"/>
          <w:bCs w:val="0"/>
          <w:sz w:val="21"/>
          <w:szCs w:val="21"/>
          <w:lang w:eastAsia="zh-CN"/>
        </w:rPr>
      </w:pPr>
      <w:r>
        <w:rPr>
          <w:rFonts w:hint="eastAsia"/>
          <w:b w:val="0"/>
          <w:bCs w:val="0"/>
          <w:sz w:val="21"/>
          <w:szCs w:val="21"/>
          <w:lang w:eastAsia="zh-CN"/>
        </w:rPr>
        <w:t></w:t>
      </w:r>
      <w:r>
        <w:rPr>
          <w:rFonts w:hint="eastAsia"/>
          <w:b w:val="0"/>
          <w:bCs w:val="0"/>
          <w:sz w:val="21"/>
          <w:szCs w:val="21"/>
          <w:lang w:val="en-US" w:eastAsia="zh-CN"/>
        </w:rPr>
        <w:t>6.</w:t>
      </w:r>
      <w:r>
        <w:rPr>
          <w:rFonts w:hint="eastAsia"/>
          <w:b w:val="0"/>
          <w:bCs w:val="0"/>
          <w:sz w:val="21"/>
          <w:szCs w:val="21"/>
          <w:lang w:eastAsia="zh-CN"/>
        </w:rPr>
        <w:t>根据建议孔位布置共布设 23 个勘察孔。</w:t>
      </w:r>
    </w:p>
    <w:p>
      <w:pPr>
        <w:pStyle w:val="2"/>
        <w:numPr>
          <w:ilvl w:val="0"/>
          <w:numId w:val="0"/>
        </w:numPr>
        <w:rPr>
          <w:rFonts w:hint="eastAsia"/>
          <w:b w:val="0"/>
          <w:bCs w:val="0"/>
          <w:sz w:val="21"/>
          <w:szCs w:val="21"/>
          <w:lang w:eastAsia="zh-CN"/>
        </w:rPr>
      </w:pPr>
      <w:r>
        <w:rPr>
          <w:rFonts w:hint="eastAsia"/>
          <w:b w:val="0"/>
          <w:bCs w:val="0"/>
          <w:sz w:val="21"/>
          <w:szCs w:val="21"/>
          <w:lang w:eastAsia="zh-CN"/>
        </w:rPr>
        <w:t></w:t>
      </w:r>
      <w:r>
        <w:rPr>
          <w:rFonts w:hint="eastAsia"/>
          <w:b w:val="0"/>
          <w:bCs w:val="0"/>
          <w:sz w:val="21"/>
          <w:szCs w:val="21"/>
          <w:lang w:val="en-US" w:eastAsia="zh-CN"/>
        </w:rPr>
        <w:t>7.</w:t>
      </w:r>
      <w:r>
        <w:rPr>
          <w:rFonts w:hint="eastAsia"/>
          <w:b w:val="0"/>
          <w:bCs w:val="0"/>
          <w:sz w:val="21"/>
          <w:szCs w:val="21"/>
          <w:lang w:eastAsia="zh-CN"/>
        </w:rPr>
        <w:t>现场勘探完成后，按相关要求做好回填封孔工作。</w:t>
      </w:r>
    </w:p>
    <w:p>
      <w:pPr>
        <w:pStyle w:val="2"/>
        <w:numPr>
          <w:ilvl w:val="0"/>
          <w:numId w:val="0"/>
        </w:numPr>
        <w:rPr>
          <w:rFonts w:hint="eastAsia"/>
          <w:b w:val="0"/>
          <w:bCs w:val="0"/>
          <w:sz w:val="21"/>
          <w:szCs w:val="21"/>
          <w:lang w:eastAsia="zh-CN"/>
        </w:rPr>
      </w:pPr>
      <w:r>
        <w:rPr>
          <w:rFonts w:hint="eastAsia"/>
          <w:b w:val="0"/>
          <w:bCs w:val="0"/>
          <w:sz w:val="21"/>
          <w:szCs w:val="21"/>
          <w:lang w:eastAsia="zh-CN"/>
        </w:rPr>
        <w:t></w:t>
      </w:r>
      <w:r>
        <w:rPr>
          <w:rFonts w:hint="eastAsia"/>
          <w:b w:val="0"/>
          <w:bCs w:val="0"/>
          <w:sz w:val="21"/>
          <w:szCs w:val="21"/>
          <w:lang w:val="en-US" w:eastAsia="zh-CN"/>
        </w:rPr>
        <w:t>8.</w:t>
      </w:r>
      <w:r>
        <w:rPr>
          <w:rFonts w:hint="eastAsia"/>
          <w:b w:val="0"/>
          <w:bCs w:val="0"/>
          <w:sz w:val="21"/>
          <w:szCs w:val="21"/>
          <w:lang w:eastAsia="zh-CN"/>
        </w:rPr>
        <w:t>水闸进尺深度≥15m, 水闸进尺深度≥20m。</w:t>
      </w:r>
    </w:p>
    <w:p>
      <w:pPr>
        <w:pStyle w:val="2"/>
        <w:numPr>
          <w:ilvl w:val="0"/>
          <w:numId w:val="0"/>
        </w:numPr>
        <w:rPr>
          <w:rFonts w:hint="eastAsia"/>
          <w:b/>
          <w:bCs/>
          <w:color w:val="auto"/>
          <w:sz w:val="28"/>
          <w:szCs w:val="28"/>
          <w:lang w:eastAsia="zh-CN"/>
        </w:rPr>
      </w:pPr>
      <w:r>
        <w:rPr>
          <w:rFonts w:hint="eastAsia"/>
          <w:b/>
          <w:bCs/>
          <w:color w:val="auto"/>
          <w:sz w:val="28"/>
          <w:szCs w:val="28"/>
          <w:lang w:eastAsia="zh-CN"/>
        </w:rPr>
        <w:t>四、设计成果及后期运维要求</w:t>
      </w:r>
    </w:p>
    <w:p>
      <w:pPr>
        <w:pStyle w:val="2"/>
        <w:numPr>
          <w:ilvl w:val="0"/>
          <w:numId w:val="0"/>
        </w:numPr>
        <w:rPr>
          <w:rFonts w:hint="eastAsia"/>
          <w:b/>
          <w:bCs/>
          <w:sz w:val="24"/>
          <w:szCs w:val="24"/>
          <w:lang w:eastAsia="zh-CN"/>
        </w:rPr>
      </w:pPr>
      <w:r>
        <w:rPr>
          <w:rFonts w:hint="eastAsia"/>
          <w:b/>
          <w:bCs/>
          <w:sz w:val="24"/>
          <w:szCs w:val="24"/>
          <w:lang w:val="en-US" w:eastAsia="zh-CN"/>
        </w:rPr>
        <w:t>1.</w:t>
      </w:r>
      <w:r>
        <w:rPr>
          <w:rFonts w:hint="eastAsia"/>
          <w:b/>
          <w:bCs/>
          <w:sz w:val="24"/>
          <w:szCs w:val="24"/>
          <w:lang w:eastAsia="zh-CN"/>
        </w:rPr>
        <w:t>设计成果</w:t>
      </w:r>
    </w:p>
    <w:p>
      <w:pPr>
        <w:pStyle w:val="2"/>
        <w:numPr>
          <w:ilvl w:val="0"/>
          <w:numId w:val="0"/>
        </w:numPr>
        <w:rPr>
          <w:rFonts w:hint="eastAsia"/>
          <w:b w:val="0"/>
          <w:bCs w:val="0"/>
          <w:sz w:val="21"/>
          <w:szCs w:val="21"/>
          <w:lang w:eastAsia="zh-CN"/>
        </w:rPr>
      </w:pPr>
      <w:r>
        <w:rPr>
          <w:rFonts w:hint="eastAsia"/>
          <w:b w:val="0"/>
          <w:bCs w:val="0"/>
          <w:sz w:val="21"/>
          <w:szCs w:val="21"/>
          <w:lang w:eastAsia="zh-CN"/>
        </w:rPr>
        <w:t>设计图纸比例自定，图面中所注文字及尺寸数字应清晰可辩。必须包含以下内容( 其他内容可根据设计表达需要由各应征单位自行选定) ：</w:t>
      </w:r>
    </w:p>
    <w:p>
      <w:pPr>
        <w:pStyle w:val="2"/>
        <w:numPr>
          <w:ilvl w:val="0"/>
          <w:numId w:val="0"/>
        </w:numPr>
        <w:ind w:left="120" w:leftChars="0"/>
        <w:rPr>
          <w:rFonts w:hint="eastAsia"/>
          <w:b/>
          <w:bCs/>
          <w:sz w:val="24"/>
          <w:szCs w:val="24"/>
          <w:lang w:eastAsia="zh-CN"/>
        </w:rPr>
      </w:pPr>
      <w:r>
        <w:rPr>
          <w:rFonts w:hint="eastAsia"/>
          <w:b/>
          <w:bCs/>
          <w:sz w:val="24"/>
          <w:szCs w:val="24"/>
          <w:lang w:val="en-US" w:eastAsia="zh-CN"/>
        </w:rPr>
        <w:t>1.1</w:t>
      </w:r>
      <w:r>
        <w:rPr>
          <w:rFonts w:hint="eastAsia"/>
          <w:b/>
          <w:bCs/>
          <w:sz w:val="24"/>
          <w:szCs w:val="24"/>
          <w:lang w:eastAsia="zh-CN"/>
        </w:rPr>
        <w:t>初步设计文本</w:t>
      </w:r>
      <w:r>
        <w:rPr>
          <w:rFonts w:hint="eastAsia"/>
          <w:b w:val="0"/>
          <w:bCs w:val="0"/>
          <w:color w:val="0000FF"/>
          <w:sz w:val="24"/>
          <w:szCs w:val="24"/>
          <w:lang w:eastAsia="zh-CN"/>
        </w:rPr>
        <w:t xml:space="preserve"> </w:t>
      </w:r>
      <w:r>
        <w:rPr>
          <w:rFonts w:hint="eastAsia"/>
          <w:b w:val="0"/>
          <w:bCs w:val="0"/>
          <w:color w:val="auto"/>
          <w:sz w:val="21"/>
          <w:szCs w:val="21"/>
          <w:lang w:eastAsia="zh-CN"/>
        </w:rPr>
        <w:t>参考</w:t>
      </w:r>
      <w:r>
        <w:rPr>
          <w:rFonts w:hint="eastAsia"/>
          <w:b w:val="0"/>
          <w:bCs w:val="0"/>
          <w:color w:val="auto"/>
          <w:sz w:val="21"/>
          <w:szCs w:val="21"/>
          <w:highlight w:val="none"/>
          <w:lang w:eastAsia="zh-CN"/>
        </w:rPr>
        <w:t>项</w:t>
      </w:r>
      <w:r>
        <w:rPr>
          <w:rFonts w:hint="eastAsia"/>
          <w:b w:val="0"/>
          <w:bCs w:val="0"/>
          <w:color w:val="auto"/>
          <w:sz w:val="21"/>
          <w:szCs w:val="21"/>
          <w:lang w:eastAsia="zh-CN"/>
        </w:rPr>
        <w:t>目相关规划资料</w:t>
      </w:r>
      <w:r>
        <w:rPr>
          <w:rFonts w:hint="eastAsia"/>
          <w:b w:val="0"/>
          <w:bCs w:val="0"/>
          <w:sz w:val="21"/>
          <w:szCs w:val="21"/>
          <w:lang w:eastAsia="zh-CN"/>
        </w:rPr>
        <w:t>，对方案配套管网（含入户管）工程、</w:t>
      </w:r>
      <w:r>
        <w:rPr>
          <w:rFonts w:hint="eastAsia"/>
          <w:b w:val="0"/>
          <w:bCs w:val="0"/>
          <w:color w:val="auto"/>
          <w:sz w:val="21"/>
          <w:szCs w:val="21"/>
          <w:lang w:eastAsia="zh-CN"/>
        </w:rPr>
        <w:t>水环境污染治理（点源控制、面源控制、内源控制）工程</w:t>
      </w:r>
      <w:r>
        <w:rPr>
          <w:rFonts w:hint="eastAsia"/>
          <w:b w:val="0"/>
          <w:bCs w:val="0"/>
          <w:sz w:val="21"/>
          <w:szCs w:val="21"/>
          <w:lang w:eastAsia="zh-CN"/>
        </w:rPr>
        <w:t>、污水资源化利用工程和水生态修复工程等进行深化设计，落实项目的可实施性以及各项技术参数。设计成果符合《市政公用工程设计文件编制深度规定》。</w:t>
      </w:r>
      <w:r>
        <w:rPr>
          <w:rFonts w:hint="eastAsia"/>
          <w:b/>
          <w:bCs/>
          <w:sz w:val="24"/>
          <w:szCs w:val="24"/>
          <w:lang w:eastAsia="zh-CN"/>
        </w:rPr>
        <w:t xml:space="preserve"> </w:t>
      </w:r>
    </w:p>
    <w:p>
      <w:pPr>
        <w:pStyle w:val="2"/>
        <w:numPr>
          <w:ilvl w:val="0"/>
          <w:numId w:val="0"/>
        </w:numPr>
        <w:ind w:left="120" w:leftChars="0"/>
        <w:rPr>
          <w:rFonts w:hint="eastAsia"/>
          <w:b w:val="0"/>
          <w:bCs w:val="0"/>
          <w:sz w:val="24"/>
          <w:szCs w:val="24"/>
          <w:lang w:eastAsia="zh-CN"/>
        </w:rPr>
      </w:pPr>
      <w:r>
        <w:rPr>
          <w:rFonts w:hint="eastAsia"/>
          <w:b/>
          <w:bCs/>
          <w:sz w:val="24"/>
          <w:szCs w:val="24"/>
          <w:lang w:val="en-US" w:eastAsia="zh-CN"/>
        </w:rPr>
        <w:t>1.2</w:t>
      </w:r>
      <w:r>
        <w:rPr>
          <w:rFonts w:hint="eastAsia"/>
          <w:b/>
          <w:bCs/>
          <w:sz w:val="24"/>
          <w:szCs w:val="24"/>
          <w:lang w:eastAsia="zh-CN"/>
        </w:rPr>
        <w:t>概算定制</w:t>
      </w:r>
      <w:r>
        <w:rPr>
          <w:rFonts w:hint="eastAsia"/>
          <w:b w:val="0"/>
          <w:bCs w:val="0"/>
          <w:sz w:val="24"/>
          <w:szCs w:val="24"/>
          <w:lang w:eastAsia="zh-CN"/>
        </w:rPr>
        <w:t xml:space="preserve"> </w:t>
      </w:r>
      <w:r>
        <w:rPr>
          <w:rFonts w:hint="eastAsia"/>
          <w:b w:val="0"/>
          <w:bCs w:val="0"/>
          <w:sz w:val="21"/>
          <w:szCs w:val="21"/>
          <w:lang w:eastAsia="zh-CN"/>
        </w:rPr>
        <w:t>在方案阶段投资估算的基础上，以表格方式列出工程需要的设备及主要材料的名称、型 号、规格、数量、材质等，并进一步细化形成设计概算。</w:t>
      </w:r>
      <w:r>
        <w:rPr>
          <w:rFonts w:hint="eastAsia"/>
          <w:b w:val="0"/>
          <w:bCs w:val="0"/>
          <w:sz w:val="24"/>
          <w:szCs w:val="24"/>
          <w:lang w:eastAsia="zh-CN"/>
        </w:rPr>
        <w:t xml:space="preserve"> </w:t>
      </w:r>
    </w:p>
    <w:p>
      <w:pPr>
        <w:pStyle w:val="2"/>
        <w:numPr>
          <w:ilvl w:val="0"/>
          <w:numId w:val="0"/>
        </w:numPr>
        <w:ind w:left="120" w:leftChars="0"/>
        <w:rPr>
          <w:rFonts w:hint="eastAsia"/>
          <w:b w:val="0"/>
          <w:bCs w:val="0"/>
          <w:sz w:val="24"/>
          <w:szCs w:val="24"/>
          <w:lang w:eastAsia="zh-CN"/>
        </w:rPr>
      </w:pPr>
      <w:r>
        <w:rPr>
          <w:rFonts w:hint="eastAsia"/>
          <w:b/>
          <w:bCs/>
          <w:sz w:val="24"/>
          <w:szCs w:val="24"/>
          <w:lang w:val="en-US" w:eastAsia="zh-CN"/>
        </w:rPr>
        <w:t>1.3</w:t>
      </w:r>
      <w:r>
        <w:rPr>
          <w:rFonts w:hint="eastAsia"/>
          <w:b/>
          <w:bCs/>
          <w:sz w:val="24"/>
          <w:szCs w:val="24"/>
          <w:lang w:eastAsia="zh-CN"/>
        </w:rPr>
        <w:t xml:space="preserve">主要成果 </w:t>
      </w:r>
    </w:p>
    <w:p>
      <w:pPr>
        <w:pStyle w:val="2"/>
        <w:numPr>
          <w:ilvl w:val="0"/>
          <w:numId w:val="0"/>
        </w:numPr>
        <w:ind w:left="120" w:leftChars="0"/>
        <w:rPr>
          <w:rFonts w:hint="eastAsia"/>
          <w:b w:val="0"/>
          <w:bCs w:val="0"/>
          <w:sz w:val="21"/>
          <w:szCs w:val="21"/>
          <w:lang w:eastAsia="zh-CN"/>
        </w:rPr>
      </w:pPr>
      <w:r>
        <w:rPr>
          <w:rFonts w:hint="eastAsia"/>
          <w:b w:val="0"/>
          <w:bCs w:val="0"/>
          <w:sz w:val="21"/>
          <w:szCs w:val="21"/>
          <w:lang w:eastAsia="zh-CN"/>
        </w:rPr>
        <w:t xml:space="preserve">（1）初步设计说明 </w:t>
      </w:r>
    </w:p>
    <w:p>
      <w:pPr>
        <w:pStyle w:val="2"/>
        <w:numPr>
          <w:ilvl w:val="0"/>
          <w:numId w:val="0"/>
        </w:numPr>
        <w:ind w:left="120" w:leftChars="0"/>
        <w:rPr>
          <w:rFonts w:hint="eastAsia"/>
          <w:b w:val="0"/>
          <w:bCs w:val="0"/>
          <w:sz w:val="21"/>
          <w:szCs w:val="21"/>
          <w:lang w:eastAsia="zh-CN"/>
        </w:rPr>
      </w:pPr>
      <w:r>
        <w:rPr>
          <w:rFonts w:hint="eastAsia"/>
          <w:b w:val="0"/>
          <w:bCs w:val="0"/>
          <w:sz w:val="21"/>
          <w:szCs w:val="21"/>
          <w:lang w:eastAsia="zh-CN"/>
        </w:rPr>
        <w:t xml:space="preserve">（2）初步设计概算 </w:t>
      </w:r>
    </w:p>
    <w:p>
      <w:pPr>
        <w:pStyle w:val="2"/>
        <w:numPr>
          <w:ilvl w:val="0"/>
          <w:numId w:val="0"/>
        </w:numPr>
        <w:ind w:left="120" w:leftChars="0"/>
        <w:rPr>
          <w:rFonts w:hint="eastAsia"/>
          <w:b w:val="0"/>
          <w:bCs w:val="0"/>
          <w:sz w:val="21"/>
          <w:szCs w:val="21"/>
          <w:lang w:eastAsia="zh-CN"/>
        </w:rPr>
      </w:pPr>
      <w:r>
        <w:rPr>
          <w:rFonts w:hint="eastAsia"/>
          <w:b w:val="0"/>
          <w:bCs w:val="0"/>
          <w:sz w:val="21"/>
          <w:szCs w:val="21"/>
          <w:lang w:eastAsia="zh-CN"/>
        </w:rPr>
        <w:t>（3）初步设计图纸(包含各项工程设计图)</w:t>
      </w:r>
      <w:r>
        <w:rPr>
          <w:rFonts w:hint="eastAsia"/>
          <w:b w:val="0"/>
          <w:bCs w:val="0"/>
          <w:sz w:val="21"/>
          <w:szCs w:val="21"/>
          <w:lang w:eastAsia="zh-CN"/>
        </w:rPr>
        <w:br w:type="page"/>
      </w:r>
    </w:p>
    <w:p>
      <w:pPr>
        <w:pStyle w:val="2"/>
        <w:numPr>
          <w:ilvl w:val="0"/>
          <w:numId w:val="0"/>
        </w:numPr>
        <w:ind w:left="120" w:leftChars="0"/>
        <w:rPr>
          <w:rFonts w:hint="eastAsia"/>
          <w:b/>
          <w:bCs/>
          <w:sz w:val="28"/>
          <w:szCs w:val="28"/>
          <w:lang w:eastAsia="zh-CN"/>
        </w:rPr>
      </w:pPr>
      <w:r>
        <w:rPr>
          <w:rFonts w:hint="eastAsia"/>
          <w:b/>
          <w:bCs/>
          <w:sz w:val="28"/>
          <w:szCs w:val="28"/>
          <w:lang w:val="en-US" w:eastAsia="zh-CN"/>
        </w:rPr>
        <w:t>2</w:t>
      </w:r>
      <w:r>
        <w:rPr>
          <w:rFonts w:hint="eastAsia"/>
          <w:b/>
          <w:bCs/>
          <w:sz w:val="28"/>
          <w:szCs w:val="28"/>
          <w:lang w:eastAsia="zh-CN"/>
        </w:rPr>
        <w:t>、运维期考核方式</w:t>
      </w:r>
    </w:p>
    <w:p>
      <w:pPr>
        <w:pStyle w:val="7"/>
        <w:keepNext w:val="0"/>
        <w:keepLines w:val="0"/>
        <w:pageBreakBefore w:val="0"/>
        <w:widowControl w:val="0"/>
        <w:numPr>
          <w:ilvl w:val="0"/>
          <w:numId w:val="4"/>
        </w:numPr>
        <w:kinsoku/>
        <w:wordWrap/>
        <w:overflowPunct/>
        <w:topLinePunct w:val="0"/>
        <w:autoSpaceDE/>
        <w:autoSpaceDN/>
        <w:bidi w:val="0"/>
        <w:snapToGrid/>
        <w:spacing w:line="480" w:lineRule="exact"/>
        <w:ind w:right="292" w:firstLine="281" w:firstLineChars="100"/>
        <w:textAlignment w:val="auto"/>
        <w:rPr>
          <w:rFonts w:hint="eastAsia" w:ascii="宋体" w:hAnsi="宋体"/>
          <w:b/>
          <w:bCs/>
          <w:color w:val="0000FF"/>
          <w:sz w:val="28"/>
          <w:szCs w:val="28"/>
          <w:highlight w:val="none"/>
        </w:rPr>
      </w:pPr>
      <w:r>
        <w:rPr>
          <w:rFonts w:hint="eastAsia" w:ascii="宋体" w:hAnsi="宋体"/>
          <w:b/>
          <w:bCs/>
          <w:color w:val="0000FF"/>
          <w:sz w:val="28"/>
          <w:szCs w:val="28"/>
          <w:highlight w:val="none"/>
        </w:rPr>
        <w:t>水体</w:t>
      </w:r>
      <w:r>
        <w:rPr>
          <w:rFonts w:hint="eastAsia" w:ascii="宋体" w:hAnsi="宋体"/>
          <w:b/>
          <w:bCs/>
          <w:color w:val="0000FF"/>
          <w:sz w:val="28"/>
          <w:szCs w:val="28"/>
          <w:highlight w:val="none"/>
          <w:lang w:eastAsia="zh-CN"/>
        </w:rPr>
        <w:t>考核</w:t>
      </w:r>
      <w:r>
        <w:rPr>
          <w:rFonts w:hint="eastAsia" w:ascii="宋体" w:hAnsi="宋体"/>
          <w:b/>
          <w:bCs/>
          <w:color w:val="0000FF"/>
          <w:sz w:val="28"/>
          <w:szCs w:val="28"/>
          <w:highlight w:val="none"/>
        </w:rPr>
        <w:t>标准</w:t>
      </w:r>
    </w:p>
    <w:p>
      <w:pPr>
        <w:pStyle w:val="7"/>
        <w:keepNext w:val="0"/>
        <w:keepLines w:val="0"/>
        <w:pageBreakBefore w:val="0"/>
        <w:widowControl w:val="0"/>
        <w:kinsoku/>
        <w:wordWrap/>
        <w:overflowPunct/>
        <w:topLinePunct w:val="0"/>
        <w:autoSpaceDE/>
        <w:autoSpaceDN/>
        <w:bidi w:val="0"/>
        <w:adjustRightInd w:val="0"/>
        <w:snapToGrid/>
        <w:spacing w:line="480" w:lineRule="exact"/>
        <w:ind w:firstLine="420" w:firstLineChars="200"/>
        <w:textAlignment w:val="auto"/>
        <w:rPr>
          <w:rFonts w:hint="default" w:ascii="宋体" w:hAnsi="宋体"/>
          <w:sz w:val="21"/>
          <w:szCs w:val="21"/>
          <w:lang w:val="en-US" w:eastAsia="zh-CN"/>
        </w:rPr>
      </w:pPr>
      <w:r>
        <w:rPr>
          <w:rFonts w:hint="eastAsia" w:ascii="宋体" w:hAnsi="宋体"/>
          <w:color w:val="FF0000"/>
          <w:sz w:val="21"/>
          <w:szCs w:val="21"/>
        </w:rPr>
        <w:t>根据</w:t>
      </w:r>
      <w:r>
        <w:rPr>
          <w:rFonts w:hint="eastAsia" w:ascii="宋体" w:hAnsi="宋体"/>
          <w:b/>
          <w:bCs/>
          <w:sz w:val="21"/>
          <w:szCs w:val="21"/>
        </w:rPr>
        <w:t>《城市黑臭水体整治工作指南》（建城[2015]130号）和</w:t>
      </w:r>
      <w:r>
        <w:rPr>
          <w:rFonts w:hint="eastAsia" w:ascii="宋体" w:hAnsi="宋体"/>
          <w:b/>
          <w:bCs/>
          <w:color w:val="FF0000"/>
          <w:sz w:val="21"/>
          <w:szCs w:val="21"/>
        </w:rPr>
        <w:t>《地表水环境质量标准》（GB 3838－2002）要求</w:t>
      </w:r>
      <w:r>
        <w:rPr>
          <w:rFonts w:hint="eastAsia" w:ascii="宋体" w:hAnsi="宋体"/>
          <w:color w:val="FF0000"/>
          <w:sz w:val="21"/>
          <w:szCs w:val="21"/>
        </w:rPr>
        <w:t>进行水体</w:t>
      </w:r>
      <w:r>
        <w:rPr>
          <w:rFonts w:hint="eastAsia" w:ascii="宋体" w:hAnsi="宋体"/>
          <w:color w:val="FF0000"/>
          <w:sz w:val="21"/>
          <w:szCs w:val="21"/>
          <w:lang w:eastAsia="zh-CN"/>
        </w:rPr>
        <w:t>考核</w:t>
      </w:r>
      <w:r>
        <w:rPr>
          <w:rFonts w:hint="eastAsia" w:ascii="宋体" w:hAnsi="宋体"/>
          <w:color w:val="FF0000"/>
          <w:sz w:val="21"/>
          <w:szCs w:val="21"/>
        </w:rPr>
        <w:t>，</w:t>
      </w:r>
      <w:r>
        <w:rPr>
          <w:rFonts w:hint="eastAsia" w:ascii="宋体" w:hAnsi="宋体"/>
          <w:color w:val="auto"/>
          <w:sz w:val="21"/>
          <w:szCs w:val="21"/>
          <w:lang w:eastAsia="zh-CN"/>
        </w:rPr>
        <w:t>竣工后</w:t>
      </w:r>
      <w:r>
        <w:rPr>
          <w:rFonts w:hint="eastAsia" w:ascii="宋体" w:hAnsi="宋体"/>
          <w:color w:val="auto"/>
          <w:sz w:val="21"/>
          <w:szCs w:val="21"/>
          <w:lang w:val="en-US" w:eastAsia="zh-CN"/>
        </w:rPr>
        <w:t>全部水系</w:t>
      </w:r>
      <w:r>
        <w:rPr>
          <w:rFonts w:hint="eastAsia" w:ascii="宋体" w:hAnsi="宋体"/>
          <w:color w:val="auto"/>
          <w:sz w:val="21"/>
          <w:szCs w:val="21"/>
          <w:lang w:eastAsia="zh-CN"/>
        </w:rPr>
        <w:t>达到</w:t>
      </w:r>
      <w:r>
        <w:rPr>
          <w:rFonts w:hint="eastAsia" w:ascii="宋体" w:hAnsi="宋体"/>
          <w:b/>
          <w:bCs/>
          <w:color w:val="auto"/>
          <w:sz w:val="21"/>
          <w:szCs w:val="21"/>
          <w:lang w:eastAsia="zh-CN"/>
        </w:rPr>
        <w:t>五</w:t>
      </w:r>
      <w:r>
        <w:rPr>
          <w:rFonts w:hint="eastAsia" w:ascii="宋体" w:hAnsi="宋体"/>
          <w:b/>
          <w:bCs/>
          <w:color w:val="auto"/>
          <w:sz w:val="21"/>
          <w:szCs w:val="21"/>
        </w:rPr>
        <w:t>类</w:t>
      </w:r>
      <w:r>
        <w:rPr>
          <w:rFonts w:hint="eastAsia" w:ascii="宋体" w:hAnsi="宋体"/>
          <w:b/>
          <w:bCs/>
          <w:color w:val="auto"/>
          <w:sz w:val="21"/>
          <w:szCs w:val="21"/>
          <w:lang w:eastAsia="zh-CN"/>
        </w:rPr>
        <w:t>水，</w:t>
      </w:r>
      <w:r>
        <w:rPr>
          <w:rFonts w:hint="eastAsia" w:ascii="宋体" w:hAnsi="宋体"/>
          <w:sz w:val="21"/>
          <w:szCs w:val="21"/>
        </w:rPr>
        <w:t>日常养护管理期每年度考核指标详见下表</w:t>
      </w:r>
      <w:r>
        <w:rPr>
          <w:rFonts w:hint="eastAsia" w:ascii="宋体" w:hAnsi="宋体"/>
          <w:sz w:val="21"/>
          <w:szCs w:val="21"/>
          <w:lang w:val="en-US" w:eastAsia="zh-CN"/>
        </w:rPr>
        <w:t>1.1</w:t>
      </w:r>
      <w:r>
        <w:rPr>
          <w:rFonts w:hint="eastAsia" w:ascii="宋体" w:hAnsi="宋体"/>
          <w:sz w:val="21"/>
          <w:szCs w:val="21"/>
          <w:lang w:eastAsia="zh-CN"/>
        </w:rPr>
        <w:t>；竣工后</w:t>
      </w:r>
      <w:r>
        <w:rPr>
          <w:rFonts w:hint="eastAsia" w:ascii="宋体" w:hAnsi="宋体"/>
          <w:sz w:val="21"/>
          <w:szCs w:val="21"/>
          <w:lang w:val="en-US" w:eastAsia="zh-CN"/>
        </w:rPr>
        <w:t>3年后达到</w:t>
      </w:r>
      <w:r>
        <w:rPr>
          <w:rFonts w:hint="eastAsia" w:ascii="宋体" w:hAnsi="宋体"/>
          <w:b/>
          <w:bCs/>
          <w:color w:val="auto"/>
          <w:sz w:val="21"/>
          <w:szCs w:val="21"/>
          <w:lang w:val="en-US" w:eastAsia="zh-CN"/>
        </w:rPr>
        <w:t>四类水</w:t>
      </w:r>
      <w:r>
        <w:rPr>
          <w:rFonts w:hint="eastAsia" w:ascii="宋体" w:hAnsi="宋体"/>
          <w:sz w:val="21"/>
          <w:szCs w:val="21"/>
          <w:lang w:val="en-US" w:eastAsia="zh-CN"/>
        </w:rPr>
        <w:t>，第4年</w:t>
      </w:r>
      <w:r>
        <w:rPr>
          <w:rFonts w:hint="eastAsia" w:ascii="宋体" w:hAnsi="宋体"/>
          <w:sz w:val="21"/>
          <w:szCs w:val="21"/>
        </w:rPr>
        <w:t>日常养护管理期每年度考核指标详见下表</w:t>
      </w:r>
      <w:r>
        <w:rPr>
          <w:rFonts w:hint="eastAsia" w:ascii="宋体" w:hAnsi="宋体"/>
          <w:sz w:val="21"/>
          <w:szCs w:val="21"/>
          <w:lang w:val="en-US" w:eastAsia="zh-CN"/>
        </w:rPr>
        <w:t>1.2；部分水系竣工后4年达到</w:t>
      </w:r>
      <w:r>
        <w:rPr>
          <w:rFonts w:hint="eastAsia" w:ascii="宋体" w:hAnsi="宋体"/>
          <w:b/>
          <w:bCs/>
          <w:color w:val="auto"/>
          <w:sz w:val="21"/>
          <w:szCs w:val="21"/>
          <w:lang w:val="en-US" w:eastAsia="zh-CN"/>
        </w:rPr>
        <w:t>三类水</w:t>
      </w:r>
      <w:r>
        <w:rPr>
          <w:rFonts w:hint="eastAsia" w:ascii="宋体" w:hAnsi="宋体"/>
          <w:sz w:val="21"/>
          <w:szCs w:val="21"/>
          <w:lang w:val="en-US" w:eastAsia="zh-CN"/>
        </w:rPr>
        <w:t>，第5年</w:t>
      </w:r>
      <w:r>
        <w:rPr>
          <w:rFonts w:hint="eastAsia" w:ascii="宋体" w:hAnsi="宋体"/>
          <w:sz w:val="21"/>
          <w:szCs w:val="21"/>
        </w:rPr>
        <w:t>日常养护管理期每年度考核指标详见下表</w:t>
      </w:r>
      <w:r>
        <w:rPr>
          <w:rFonts w:hint="eastAsia" w:ascii="宋体" w:hAnsi="宋体"/>
          <w:sz w:val="21"/>
          <w:szCs w:val="21"/>
          <w:lang w:val="en-US" w:eastAsia="zh-CN"/>
        </w:rPr>
        <w:t>1.3；</w:t>
      </w:r>
    </w:p>
    <w:p>
      <w:pPr>
        <w:pStyle w:val="7"/>
        <w:spacing w:line="360" w:lineRule="auto"/>
        <w:ind w:left="118" w:right="292" w:firstLine="480"/>
        <w:jc w:val="center"/>
        <w:rPr>
          <w:rFonts w:hint="eastAsia" w:ascii="宋体" w:hAnsi="宋体" w:eastAsia="宋体"/>
          <w:sz w:val="21"/>
          <w:szCs w:val="21"/>
          <w:lang w:val="en-US" w:eastAsia="zh-CN"/>
        </w:rPr>
      </w:pPr>
      <w:r>
        <w:rPr>
          <w:rFonts w:hint="eastAsia" w:ascii="宋体" w:hAnsi="宋体"/>
          <w:sz w:val="21"/>
          <w:szCs w:val="21"/>
        </w:rPr>
        <w:t>表</w:t>
      </w:r>
      <w:r>
        <w:rPr>
          <w:rFonts w:hint="eastAsia" w:ascii="宋体" w:hAnsi="宋体"/>
          <w:sz w:val="21"/>
          <w:szCs w:val="21"/>
          <w:lang w:val="en-US" w:eastAsia="zh-CN"/>
        </w:rPr>
        <w:t>1.1</w:t>
      </w:r>
      <w:r>
        <w:rPr>
          <w:rFonts w:hint="eastAsia" w:ascii="宋体" w:hAnsi="宋体"/>
          <w:sz w:val="21"/>
          <w:szCs w:val="21"/>
        </w:rPr>
        <w:t>水质达标技术指标</w:t>
      </w:r>
      <w:r>
        <w:rPr>
          <w:rFonts w:hint="eastAsia" w:ascii="宋体" w:hAnsi="宋体"/>
          <w:sz w:val="21"/>
          <w:szCs w:val="21"/>
          <w:lang w:eastAsia="zh-CN"/>
        </w:rPr>
        <w:t>（地表五类）</w:t>
      </w:r>
    </w:p>
    <w:tbl>
      <w:tblPr>
        <w:tblStyle w:val="9"/>
        <w:tblW w:w="6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0"/>
        <w:gridCol w:w="2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750" w:type="dxa"/>
            <w:noWrap w:val="0"/>
            <w:vAlign w:val="center"/>
          </w:tcPr>
          <w:p>
            <w:pPr>
              <w:jc w:val="center"/>
              <w:rPr>
                <w:rFonts w:ascii="宋体" w:hAnsi="宋体"/>
                <w:b/>
                <w:sz w:val="21"/>
                <w:szCs w:val="21"/>
              </w:rPr>
            </w:pPr>
            <w:r>
              <w:rPr>
                <w:rFonts w:hint="eastAsia" w:ascii="宋体" w:hAnsi="宋体"/>
                <w:b/>
                <w:sz w:val="21"/>
                <w:szCs w:val="21"/>
              </w:rPr>
              <w:t>特征指标（单位）</w:t>
            </w:r>
          </w:p>
        </w:tc>
        <w:tc>
          <w:tcPr>
            <w:tcW w:w="2984" w:type="dxa"/>
            <w:noWrap w:val="0"/>
            <w:vAlign w:val="center"/>
          </w:tcPr>
          <w:p>
            <w:pPr>
              <w:jc w:val="center"/>
              <w:rPr>
                <w:rFonts w:ascii="宋体" w:hAnsi="宋体"/>
                <w:b/>
                <w:sz w:val="21"/>
                <w:szCs w:val="21"/>
              </w:rPr>
            </w:pPr>
            <w:r>
              <w:rPr>
                <w:rFonts w:hint="eastAsia" w:ascii="宋体" w:hAnsi="宋体"/>
                <w:b/>
                <w:sz w:val="21"/>
                <w:szCs w:val="21"/>
              </w:rPr>
              <w:t>目标指标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750" w:type="dxa"/>
            <w:noWrap w:val="0"/>
            <w:vAlign w:val="center"/>
          </w:tcPr>
          <w:p>
            <w:pPr>
              <w:jc w:val="center"/>
              <w:rPr>
                <w:rFonts w:ascii="宋体" w:hAnsi="宋体"/>
                <w:b/>
                <w:sz w:val="21"/>
                <w:szCs w:val="21"/>
              </w:rPr>
            </w:pPr>
            <w:r>
              <w:rPr>
                <w:rFonts w:hint="eastAsia" w:ascii="宋体" w:hAnsi="宋体"/>
                <w:b/>
                <w:sz w:val="21"/>
                <w:szCs w:val="21"/>
              </w:rPr>
              <w:t>透明度（㎝）</w:t>
            </w:r>
          </w:p>
        </w:tc>
        <w:tc>
          <w:tcPr>
            <w:tcW w:w="2984" w:type="dxa"/>
            <w:noWrap w:val="0"/>
            <w:vAlign w:val="center"/>
          </w:tcPr>
          <w:p>
            <w:pPr>
              <w:jc w:val="center"/>
              <w:rPr>
                <w:rFonts w:ascii="宋体" w:hAnsi="宋体"/>
                <w:b/>
                <w:sz w:val="21"/>
                <w:szCs w:val="21"/>
              </w:rPr>
            </w:pPr>
            <w:r>
              <w:rPr>
                <w:rFonts w:hint="eastAsia" w:ascii="宋体" w:hAnsi="宋体"/>
                <w:b/>
                <w:sz w:val="21"/>
                <w:szCs w:val="21"/>
              </w:rPr>
              <w:t>≥</w:t>
            </w:r>
            <w:r>
              <w:rPr>
                <w:rFonts w:ascii="宋体" w:hAnsi="宋体"/>
                <w:b/>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750" w:type="dxa"/>
            <w:noWrap w:val="0"/>
            <w:vAlign w:val="center"/>
          </w:tcPr>
          <w:p>
            <w:pPr>
              <w:jc w:val="center"/>
              <w:rPr>
                <w:rFonts w:ascii="宋体" w:hAnsi="宋体"/>
                <w:b/>
                <w:sz w:val="21"/>
                <w:szCs w:val="21"/>
              </w:rPr>
            </w:pPr>
            <w:r>
              <w:rPr>
                <w:rFonts w:hint="eastAsia" w:ascii="宋体" w:hAnsi="宋体"/>
                <w:b/>
                <w:sz w:val="21"/>
                <w:szCs w:val="21"/>
              </w:rPr>
              <w:t>氧化还原电位（</w:t>
            </w:r>
            <w:r>
              <w:rPr>
                <w:rFonts w:ascii="宋体" w:hAnsi="宋体"/>
                <w:b/>
                <w:sz w:val="21"/>
                <w:szCs w:val="21"/>
              </w:rPr>
              <w:t>mV</w:t>
            </w:r>
            <w:r>
              <w:rPr>
                <w:rFonts w:hint="eastAsia" w:ascii="宋体" w:hAnsi="宋体"/>
                <w:b/>
                <w:sz w:val="21"/>
                <w:szCs w:val="21"/>
              </w:rPr>
              <w:t>）</w:t>
            </w:r>
          </w:p>
        </w:tc>
        <w:tc>
          <w:tcPr>
            <w:tcW w:w="2984" w:type="dxa"/>
            <w:noWrap w:val="0"/>
            <w:vAlign w:val="center"/>
          </w:tcPr>
          <w:p>
            <w:pPr>
              <w:jc w:val="center"/>
              <w:rPr>
                <w:rFonts w:ascii="宋体" w:hAnsi="宋体"/>
                <w:b/>
                <w:sz w:val="21"/>
                <w:szCs w:val="21"/>
              </w:rPr>
            </w:pPr>
            <w:r>
              <w:rPr>
                <w:rFonts w:hint="eastAsia" w:ascii="宋体" w:hAnsi="宋体"/>
                <w:b/>
                <w:sz w:val="21"/>
                <w:szCs w:val="21"/>
              </w:rPr>
              <w:t>≥</w:t>
            </w:r>
            <w:r>
              <w:rPr>
                <w:rFonts w:ascii="宋体" w:hAnsi="宋体"/>
                <w:b/>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750" w:type="dxa"/>
            <w:noWrap w:val="0"/>
            <w:vAlign w:val="center"/>
          </w:tcPr>
          <w:p>
            <w:pPr>
              <w:jc w:val="center"/>
              <w:rPr>
                <w:rFonts w:hint="eastAsia" w:ascii="宋体" w:hAnsi="宋体"/>
                <w:b/>
                <w:sz w:val="21"/>
                <w:szCs w:val="21"/>
              </w:rPr>
            </w:pPr>
            <w:r>
              <w:rPr>
                <w:rFonts w:hint="eastAsia" w:ascii="宋体" w:hAnsi="宋体"/>
                <w:b/>
                <w:sz w:val="21"/>
                <w:szCs w:val="21"/>
              </w:rPr>
              <w:t>溶解氧（㎎</w:t>
            </w:r>
            <w:r>
              <w:rPr>
                <w:rFonts w:ascii="宋体" w:hAnsi="宋体"/>
                <w:b/>
                <w:sz w:val="21"/>
                <w:szCs w:val="21"/>
              </w:rPr>
              <w:t>/L</w:t>
            </w:r>
            <w:r>
              <w:rPr>
                <w:rFonts w:hint="eastAsia" w:ascii="宋体" w:hAnsi="宋体"/>
                <w:b/>
                <w:sz w:val="21"/>
                <w:szCs w:val="21"/>
              </w:rPr>
              <w:t>）</w:t>
            </w:r>
          </w:p>
        </w:tc>
        <w:tc>
          <w:tcPr>
            <w:tcW w:w="2984" w:type="dxa"/>
            <w:noWrap w:val="0"/>
            <w:vAlign w:val="center"/>
          </w:tcPr>
          <w:p>
            <w:pPr>
              <w:jc w:val="center"/>
              <w:rPr>
                <w:rFonts w:hint="eastAsia" w:ascii="宋体" w:hAnsi="宋体"/>
                <w:b/>
                <w:sz w:val="21"/>
                <w:szCs w:val="21"/>
              </w:rPr>
            </w:pPr>
            <w:r>
              <w:rPr>
                <w:rFonts w:hint="eastAsia" w:ascii="宋体" w:hAnsi="宋体"/>
                <w:b/>
                <w:sz w:val="21"/>
                <w:szCs w:val="21"/>
              </w:rPr>
              <w:t>≥</w:t>
            </w:r>
            <w:r>
              <w:rPr>
                <w:rFonts w:hint="eastAsia" w:ascii="宋体" w:hAnsi="宋体"/>
                <w:b/>
                <w:sz w:val="21"/>
                <w:szCs w:val="21"/>
                <w:lang w:val="en-US" w:eastAsia="zh-CN"/>
              </w:rPr>
              <w:t>2</w:t>
            </w:r>
            <w:r>
              <w:rPr>
                <w:rFonts w:ascii="宋体" w:hAnsi="宋体"/>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750" w:type="dxa"/>
            <w:noWrap w:val="0"/>
            <w:vAlign w:val="center"/>
          </w:tcPr>
          <w:p>
            <w:pPr>
              <w:jc w:val="center"/>
              <w:rPr>
                <w:rFonts w:ascii="宋体" w:hAnsi="宋体"/>
                <w:b/>
                <w:sz w:val="21"/>
                <w:szCs w:val="21"/>
              </w:rPr>
            </w:pPr>
            <w:r>
              <w:rPr>
                <w:rFonts w:hint="eastAsia" w:ascii="宋体" w:hAnsi="宋体"/>
                <w:b/>
                <w:sz w:val="21"/>
                <w:szCs w:val="21"/>
              </w:rPr>
              <w:t>氨氮（㎎</w:t>
            </w:r>
            <w:r>
              <w:rPr>
                <w:rFonts w:ascii="宋体" w:hAnsi="宋体"/>
                <w:b/>
                <w:sz w:val="21"/>
                <w:szCs w:val="21"/>
              </w:rPr>
              <w:t>/L</w:t>
            </w:r>
            <w:r>
              <w:rPr>
                <w:rFonts w:hint="eastAsia" w:ascii="宋体" w:hAnsi="宋体"/>
                <w:b/>
                <w:sz w:val="21"/>
                <w:szCs w:val="21"/>
              </w:rPr>
              <w:t>）</w:t>
            </w:r>
          </w:p>
        </w:tc>
        <w:tc>
          <w:tcPr>
            <w:tcW w:w="2984" w:type="dxa"/>
            <w:noWrap w:val="0"/>
            <w:vAlign w:val="center"/>
          </w:tcPr>
          <w:p>
            <w:pPr>
              <w:jc w:val="center"/>
              <w:rPr>
                <w:rFonts w:hint="default" w:ascii="宋体" w:hAnsi="宋体" w:eastAsia="宋体"/>
                <w:b/>
                <w:sz w:val="21"/>
                <w:szCs w:val="21"/>
                <w:lang w:val="en-US" w:eastAsia="zh-CN"/>
              </w:rPr>
            </w:pPr>
            <w:r>
              <w:rPr>
                <w:rFonts w:hint="eastAsia" w:ascii="宋体" w:hAnsi="宋体"/>
                <w:b/>
                <w:sz w:val="21"/>
                <w:szCs w:val="21"/>
              </w:rPr>
              <w:t>≤</w:t>
            </w:r>
            <w:r>
              <w:rPr>
                <w:rFonts w:hint="eastAsia" w:ascii="宋体" w:hAnsi="宋体"/>
                <w:b/>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0" w:type="dxa"/>
            <w:noWrap w:val="0"/>
            <w:vAlign w:val="center"/>
          </w:tcPr>
          <w:p>
            <w:pPr>
              <w:jc w:val="center"/>
              <w:rPr>
                <w:rFonts w:hint="eastAsia" w:ascii="宋体" w:hAnsi="宋体" w:eastAsia="宋体"/>
                <w:b/>
                <w:sz w:val="21"/>
                <w:szCs w:val="21"/>
                <w:lang w:val="en-US" w:eastAsia="zh-CN"/>
              </w:rPr>
            </w:pPr>
            <w:r>
              <w:rPr>
                <w:rFonts w:hint="eastAsia" w:ascii="宋体" w:hAnsi="宋体"/>
                <w:b/>
                <w:sz w:val="21"/>
                <w:szCs w:val="21"/>
                <w:lang w:val="en-US" w:eastAsia="zh-CN"/>
              </w:rPr>
              <w:t>高锰酸盐指数</w:t>
            </w:r>
          </w:p>
        </w:tc>
        <w:tc>
          <w:tcPr>
            <w:tcW w:w="2984" w:type="dxa"/>
            <w:noWrap w:val="0"/>
            <w:vAlign w:val="center"/>
          </w:tcPr>
          <w:p>
            <w:pPr>
              <w:jc w:val="center"/>
              <w:rPr>
                <w:rFonts w:hint="default" w:ascii="宋体" w:hAnsi="宋体" w:eastAsia="宋体"/>
                <w:b/>
                <w:sz w:val="21"/>
                <w:szCs w:val="21"/>
                <w:lang w:val="en-US" w:eastAsia="zh-CN"/>
              </w:rPr>
            </w:pPr>
            <w:r>
              <w:rPr>
                <w:rFonts w:hint="eastAsia" w:ascii="宋体" w:hAnsi="宋体"/>
                <w:b/>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750" w:type="dxa"/>
            <w:noWrap w:val="0"/>
            <w:vAlign w:val="center"/>
          </w:tcPr>
          <w:p>
            <w:pPr>
              <w:jc w:val="center"/>
              <w:rPr>
                <w:rFonts w:ascii="宋体" w:hAnsi="宋体"/>
                <w:b/>
                <w:sz w:val="21"/>
                <w:szCs w:val="21"/>
              </w:rPr>
            </w:pPr>
            <w:r>
              <w:rPr>
                <w:rFonts w:hint="eastAsia" w:ascii="宋体" w:hAnsi="宋体"/>
                <w:b/>
                <w:color w:val="FF0000"/>
                <w:sz w:val="21"/>
                <w:szCs w:val="21"/>
              </w:rPr>
              <w:t>化学需氧量</w:t>
            </w:r>
            <w:r>
              <w:rPr>
                <w:rFonts w:hint="eastAsia" w:ascii="宋体" w:hAnsi="宋体"/>
                <w:b/>
                <w:sz w:val="21"/>
                <w:szCs w:val="21"/>
              </w:rPr>
              <w:t>（㎎</w:t>
            </w:r>
            <w:r>
              <w:rPr>
                <w:rFonts w:ascii="宋体" w:hAnsi="宋体"/>
                <w:b/>
                <w:sz w:val="21"/>
                <w:szCs w:val="21"/>
              </w:rPr>
              <w:t>/L</w:t>
            </w:r>
            <w:r>
              <w:rPr>
                <w:rFonts w:hint="eastAsia" w:ascii="宋体" w:hAnsi="宋体"/>
                <w:b/>
                <w:sz w:val="21"/>
                <w:szCs w:val="21"/>
              </w:rPr>
              <w:t>）</w:t>
            </w:r>
          </w:p>
        </w:tc>
        <w:tc>
          <w:tcPr>
            <w:tcW w:w="2984" w:type="dxa"/>
            <w:noWrap w:val="0"/>
            <w:vAlign w:val="center"/>
          </w:tcPr>
          <w:p>
            <w:pPr>
              <w:jc w:val="center"/>
              <w:rPr>
                <w:rFonts w:hint="default" w:ascii="宋体" w:hAnsi="宋体"/>
                <w:b/>
                <w:sz w:val="21"/>
                <w:szCs w:val="21"/>
                <w:lang w:val="en-US"/>
              </w:rPr>
            </w:pPr>
            <w:r>
              <w:rPr>
                <w:rFonts w:hint="eastAsia" w:ascii="宋体" w:hAnsi="宋体"/>
                <w:b/>
                <w:sz w:val="21"/>
                <w:szCs w:val="21"/>
              </w:rPr>
              <w:t>≤</w:t>
            </w:r>
            <w:r>
              <w:rPr>
                <w:rFonts w:hint="eastAsia" w:ascii="宋体" w:hAnsi="宋体"/>
                <w:b/>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750" w:type="dxa"/>
            <w:noWrap w:val="0"/>
            <w:vAlign w:val="center"/>
          </w:tcPr>
          <w:p>
            <w:pPr>
              <w:jc w:val="center"/>
              <w:rPr>
                <w:rFonts w:ascii="宋体" w:hAnsi="宋体"/>
                <w:b/>
                <w:sz w:val="21"/>
                <w:szCs w:val="21"/>
              </w:rPr>
            </w:pPr>
            <w:r>
              <w:rPr>
                <w:rFonts w:hint="eastAsia" w:ascii="宋体" w:hAnsi="宋体"/>
                <w:b/>
                <w:color w:val="FF0000"/>
                <w:sz w:val="21"/>
                <w:szCs w:val="21"/>
              </w:rPr>
              <w:t>总磷</w:t>
            </w:r>
            <w:r>
              <w:rPr>
                <w:rFonts w:hint="eastAsia" w:ascii="宋体" w:hAnsi="宋体"/>
                <w:b/>
                <w:sz w:val="21"/>
                <w:szCs w:val="21"/>
              </w:rPr>
              <w:t>（㎎</w:t>
            </w:r>
            <w:r>
              <w:rPr>
                <w:rFonts w:ascii="宋体" w:hAnsi="宋体"/>
                <w:b/>
                <w:sz w:val="21"/>
                <w:szCs w:val="21"/>
              </w:rPr>
              <w:t>/L</w:t>
            </w:r>
            <w:r>
              <w:rPr>
                <w:rFonts w:hint="eastAsia" w:ascii="宋体" w:hAnsi="宋体"/>
                <w:b/>
                <w:sz w:val="21"/>
                <w:szCs w:val="21"/>
              </w:rPr>
              <w:t>）</w:t>
            </w:r>
          </w:p>
        </w:tc>
        <w:tc>
          <w:tcPr>
            <w:tcW w:w="2984" w:type="dxa"/>
            <w:noWrap w:val="0"/>
            <w:vAlign w:val="center"/>
          </w:tcPr>
          <w:p>
            <w:pPr>
              <w:jc w:val="center"/>
              <w:rPr>
                <w:rFonts w:hint="eastAsia" w:ascii="宋体" w:hAnsi="宋体" w:eastAsia="宋体"/>
                <w:b/>
                <w:sz w:val="21"/>
                <w:szCs w:val="21"/>
                <w:lang w:eastAsia="zh-CN"/>
              </w:rPr>
            </w:pPr>
            <w:r>
              <w:rPr>
                <w:rFonts w:hint="eastAsia" w:ascii="宋体" w:hAnsi="宋体"/>
                <w:b/>
                <w:sz w:val="21"/>
                <w:szCs w:val="21"/>
              </w:rPr>
              <w:t>≤</w:t>
            </w:r>
            <w:r>
              <w:rPr>
                <w:rFonts w:ascii="宋体" w:hAnsi="宋体"/>
                <w:b/>
                <w:sz w:val="21"/>
                <w:szCs w:val="21"/>
              </w:rPr>
              <w:t>0.</w:t>
            </w:r>
            <w:r>
              <w:rPr>
                <w:rFonts w:hint="eastAsia" w:ascii="宋体" w:hAnsi="宋体"/>
                <w:b/>
                <w:sz w:val="21"/>
                <w:szCs w:val="21"/>
                <w:lang w:val="en-US" w:eastAsia="zh-CN"/>
              </w:rPr>
              <w:t>4</w:t>
            </w:r>
          </w:p>
        </w:tc>
      </w:tr>
    </w:tbl>
    <w:p>
      <w:pPr>
        <w:pStyle w:val="6"/>
        <w:ind w:left="0" w:leftChars="0" w:firstLine="0" w:firstLineChars="0"/>
        <w:rPr>
          <w:rFonts w:hint="eastAsia" w:ascii="宋体" w:hAnsi="宋体"/>
          <w:sz w:val="28"/>
          <w:szCs w:val="28"/>
        </w:rPr>
      </w:pPr>
    </w:p>
    <w:p>
      <w:pPr>
        <w:pStyle w:val="7"/>
        <w:keepNext w:val="0"/>
        <w:keepLines w:val="0"/>
        <w:pageBreakBefore w:val="0"/>
        <w:widowControl w:val="0"/>
        <w:kinsoku/>
        <w:wordWrap/>
        <w:overflowPunct/>
        <w:topLinePunct w:val="0"/>
        <w:autoSpaceDE/>
        <w:autoSpaceDN/>
        <w:bidi w:val="0"/>
        <w:adjustRightInd/>
        <w:snapToGrid/>
        <w:spacing w:line="480" w:lineRule="exact"/>
        <w:ind w:left="119" w:right="295" w:firstLine="482"/>
        <w:jc w:val="center"/>
        <w:textAlignment w:val="auto"/>
        <w:rPr>
          <w:rFonts w:hint="eastAsia" w:ascii="宋体" w:hAnsi="宋体"/>
          <w:sz w:val="21"/>
          <w:szCs w:val="21"/>
        </w:rPr>
      </w:pPr>
      <w:r>
        <w:rPr>
          <w:rFonts w:hint="eastAsia" w:ascii="宋体" w:hAnsi="宋体"/>
          <w:sz w:val="21"/>
          <w:szCs w:val="21"/>
        </w:rPr>
        <w:t>表</w:t>
      </w:r>
      <w:r>
        <w:rPr>
          <w:rFonts w:hint="eastAsia" w:ascii="宋体" w:hAnsi="宋体"/>
          <w:sz w:val="21"/>
          <w:szCs w:val="21"/>
          <w:lang w:val="en-US" w:eastAsia="zh-CN"/>
        </w:rPr>
        <w:t>1.2</w:t>
      </w:r>
      <w:r>
        <w:rPr>
          <w:rFonts w:hint="eastAsia" w:ascii="宋体" w:hAnsi="宋体"/>
          <w:sz w:val="21"/>
          <w:szCs w:val="21"/>
        </w:rPr>
        <w:t>水质达标技术指标</w:t>
      </w:r>
      <w:r>
        <w:rPr>
          <w:rFonts w:hint="eastAsia" w:ascii="宋体" w:hAnsi="宋体"/>
          <w:sz w:val="21"/>
          <w:szCs w:val="21"/>
          <w:lang w:eastAsia="zh-CN"/>
        </w:rPr>
        <w:t>（地表四类）</w:t>
      </w:r>
    </w:p>
    <w:tbl>
      <w:tblPr>
        <w:tblStyle w:val="9"/>
        <w:tblW w:w="6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0"/>
        <w:gridCol w:w="2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0" w:type="dxa"/>
            <w:noWrap w:val="0"/>
            <w:vAlign w:val="center"/>
          </w:tcPr>
          <w:p>
            <w:pPr>
              <w:jc w:val="center"/>
              <w:rPr>
                <w:rFonts w:ascii="宋体" w:hAnsi="宋体"/>
                <w:b/>
                <w:sz w:val="21"/>
                <w:szCs w:val="21"/>
              </w:rPr>
            </w:pPr>
            <w:r>
              <w:rPr>
                <w:rFonts w:hint="eastAsia" w:ascii="宋体" w:hAnsi="宋体"/>
                <w:b/>
                <w:sz w:val="21"/>
                <w:szCs w:val="21"/>
              </w:rPr>
              <w:t>特征指标（单位）</w:t>
            </w:r>
          </w:p>
        </w:tc>
        <w:tc>
          <w:tcPr>
            <w:tcW w:w="2984" w:type="dxa"/>
            <w:noWrap w:val="0"/>
            <w:vAlign w:val="center"/>
          </w:tcPr>
          <w:p>
            <w:pPr>
              <w:jc w:val="center"/>
              <w:rPr>
                <w:rFonts w:ascii="宋体" w:hAnsi="宋体"/>
                <w:b/>
                <w:sz w:val="21"/>
                <w:szCs w:val="21"/>
              </w:rPr>
            </w:pPr>
            <w:r>
              <w:rPr>
                <w:rFonts w:hint="eastAsia" w:ascii="宋体" w:hAnsi="宋体"/>
                <w:b/>
                <w:sz w:val="21"/>
                <w:szCs w:val="21"/>
              </w:rPr>
              <w:t>目标指标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0" w:type="dxa"/>
            <w:noWrap w:val="0"/>
            <w:vAlign w:val="center"/>
          </w:tcPr>
          <w:p>
            <w:pPr>
              <w:jc w:val="center"/>
              <w:rPr>
                <w:rFonts w:ascii="宋体" w:hAnsi="宋体"/>
                <w:b/>
                <w:sz w:val="21"/>
                <w:szCs w:val="21"/>
              </w:rPr>
            </w:pPr>
            <w:r>
              <w:rPr>
                <w:rFonts w:hint="eastAsia" w:ascii="宋体" w:hAnsi="宋体"/>
                <w:b/>
                <w:sz w:val="21"/>
                <w:szCs w:val="21"/>
              </w:rPr>
              <w:t>透明度（㎝）</w:t>
            </w:r>
          </w:p>
        </w:tc>
        <w:tc>
          <w:tcPr>
            <w:tcW w:w="2984" w:type="dxa"/>
            <w:noWrap w:val="0"/>
            <w:vAlign w:val="center"/>
          </w:tcPr>
          <w:p>
            <w:pPr>
              <w:jc w:val="center"/>
              <w:rPr>
                <w:rFonts w:ascii="宋体" w:hAnsi="宋体"/>
                <w:b/>
                <w:sz w:val="21"/>
                <w:szCs w:val="21"/>
              </w:rPr>
            </w:pPr>
            <w:r>
              <w:rPr>
                <w:rFonts w:hint="eastAsia" w:ascii="宋体" w:hAnsi="宋体"/>
                <w:b/>
                <w:sz w:val="21"/>
                <w:szCs w:val="21"/>
              </w:rPr>
              <w:t>≥</w:t>
            </w:r>
            <w:r>
              <w:rPr>
                <w:rFonts w:ascii="宋体" w:hAnsi="宋体"/>
                <w:b/>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0" w:type="dxa"/>
            <w:noWrap w:val="0"/>
            <w:vAlign w:val="center"/>
          </w:tcPr>
          <w:p>
            <w:pPr>
              <w:jc w:val="center"/>
              <w:rPr>
                <w:rFonts w:ascii="宋体" w:hAnsi="宋体"/>
                <w:b/>
                <w:sz w:val="21"/>
                <w:szCs w:val="21"/>
              </w:rPr>
            </w:pPr>
            <w:r>
              <w:rPr>
                <w:rFonts w:hint="eastAsia" w:ascii="宋体" w:hAnsi="宋体"/>
                <w:b/>
                <w:sz w:val="21"/>
                <w:szCs w:val="21"/>
              </w:rPr>
              <w:t>氧化还原电位（</w:t>
            </w:r>
            <w:r>
              <w:rPr>
                <w:rFonts w:ascii="宋体" w:hAnsi="宋体"/>
                <w:b/>
                <w:sz w:val="21"/>
                <w:szCs w:val="21"/>
              </w:rPr>
              <w:t>mV</w:t>
            </w:r>
            <w:r>
              <w:rPr>
                <w:rFonts w:hint="eastAsia" w:ascii="宋体" w:hAnsi="宋体"/>
                <w:b/>
                <w:sz w:val="21"/>
                <w:szCs w:val="21"/>
              </w:rPr>
              <w:t>）</w:t>
            </w:r>
          </w:p>
        </w:tc>
        <w:tc>
          <w:tcPr>
            <w:tcW w:w="2984" w:type="dxa"/>
            <w:noWrap w:val="0"/>
            <w:vAlign w:val="center"/>
          </w:tcPr>
          <w:p>
            <w:pPr>
              <w:jc w:val="center"/>
              <w:rPr>
                <w:rFonts w:ascii="宋体" w:hAnsi="宋体"/>
                <w:b/>
                <w:sz w:val="21"/>
                <w:szCs w:val="21"/>
              </w:rPr>
            </w:pPr>
            <w:r>
              <w:rPr>
                <w:rFonts w:hint="eastAsia" w:ascii="宋体" w:hAnsi="宋体"/>
                <w:b/>
                <w:sz w:val="21"/>
                <w:szCs w:val="21"/>
              </w:rPr>
              <w:t>≥</w:t>
            </w:r>
            <w:r>
              <w:rPr>
                <w:rFonts w:ascii="宋体" w:hAnsi="宋体"/>
                <w:b/>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750" w:type="dxa"/>
            <w:noWrap w:val="0"/>
            <w:vAlign w:val="center"/>
          </w:tcPr>
          <w:p>
            <w:pPr>
              <w:jc w:val="center"/>
              <w:rPr>
                <w:rFonts w:hint="eastAsia" w:ascii="宋体" w:hAnsi="宋体"/>
                <w:b/>
                <w:sz w:val="21"/>
                <w:szCs w:val="21"/>
              </w:rPr>
            </w:pPr>
            <w:r>
              <w:rPr>
                <w:rFonts w:hint="eastAsia" w:ascii="宋体" w:hAnsi="宋体"/>
                <w:b/>
                <w:sz w:val="21"/>
                <w:szCs w:val="21"/>
              </w:rPr>
              <w:t>溶解氧（㎎</w:t>
            </w:r>
            <w:r>
              <w:rPr>
                <w:rFonts w:ascii="宋体" w:hAnsi="宋体"/>
                <w:b/>
                <w:sz w:val="21"/>
                <w:szCs w:val="21"/>
              </w:rPr>
              <w:t>/L</w:t>
            </w:r>
            <w:r>
              <w:rPr>
                <w:rFonts w:hint="eastAsia" w:ascii="宋体" w:hAnsi="宋体"/>
                <w:b/>
                <w:sz w:val="21"/>
                <w:szCs w:val="21"/>
              </w:rPr>
              <w:t>）</w:t>
            </w:r>
          </w:p>
        </w:tc>
        <w:tc>
          <w:tcPr>
            <w:tcW w:w="2984" w:type="dxa"/>
            <w:noWrap w:val="0"/>
            <w:vAlign w:val="center"/>
          </w:tcPr>
          <w:p>
            <w:pPr>
              <w:jc w:val="center"/>
              <w:rPr>
                <w:rFonts w:hint="eastAsia" w:ascii="宋体" w:hAnsi="宋体"/>
                <w:b/>
                <w:sz w:val="21"/>
                <w:szCs w:val="21"/>
              </w:rPr>
            </w:pPr>
            <w:r>
              <w:rPr>
                <w:rFonts w:hint="eastAsia" w:ascii="宋体" w:hAnsi="宋体"/>
                <w:b/>
                <w:sz w:val="21"/>
                <w:szCs w:val="21"/>
              </w:rPr>
              <w:t>≥</w:t>
            </w:r>
            <w:r>
              <w:rPr>
                <w:rFonts w:hint="eastAsia" w:ascii="宋体" w:hAnsi="宋体"/>
                <w:b/>
                <w:sz w:val="21"/>
                <w:szCs w:val="21"/>
                <w:lang w:val="en-US" w:eastAsia="zh-CN"/>
              </w:rPr>
              <w:t>3</w:t>
            </w:r>
            <w:r>
              <w:rPr>
                <w:rFonts w:ascii="宋体" w:hAnsi="宋体"/>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0" w:type="dxa"/>
            <w:noWrap w:val="0"/>
            <w:vAlign w:val="center"/>
          </w:tcPr>
          <w:p>
            <w:pPr>
              <w:jc w:val="center"/>
              <w:rPr>
                <w:rFonts w:ascii="宋体" w:hAnsi="宋体"/>
                <w:b/>
                <w:sz w:val="21"/>
                <w:szCs w:val="21"/>
              </w:rPr>
            </w:pPr>
            <w:r>
              <w:rPr>
                <w:rFonts w:hint="eastAsia" w:ascii="宋体" w:hAnsi="宋体"/>
                <w:b/>
                <w:sz w:val="21"/>
                <w:szCs w:val="21"/>
              </w:rPr>
              <w:t>氨氮（㎎</w:t>
            </w:r>
            <w:r>
              <w:rPr>
                <w:rFonts w:ascii="宋体" w:hAnsi="宋体"/>
                <w:b/>
                <w:sz w:val="21"/>
                <w:szCs w:val="21"/>
              </w:rPr>
              <w:t>/L</w:t>
            </w:r>
            <w:r>
              <w:rPr>
                <w:rFonts w:hint="eastAsia" w:ascii="宋体" w:hAnsi="宋体"/>
                <w:b/>
                <w:sz w:val="21"/>
                <w:szCs w:val="21"/>
              </w:rPr>
              <w:t>）</w:t>
            </w:r>
          </w:p>
        </w:tc>
        <w:tc>
          <w:tcPr>
            <w:tcW w:w="2984" w:type="dxa"/>
            <w:noWrap w:val="0"/>
            <w:vAlign w:val="center"/>
          </w:tcPr>
          <w:p>
            <w:pPr>
              <w:jc w:val="center"/>
              <w:rPr>
                <w:rFonts w:hint="default" w:ascii="宋体" w:hAnsi="宋体" w:eastAsia="宋体"/>
                <w:b/>
                <w:sz w:val="21"/>
                <w:szCs w:val="21"/>
                <w:lang w:val="en-US" w:eastAsia="zh-CN"/>
              </w:rPr>
            </w:pPr>
            <w:r>
              <w:rPr>
                <w:rFonts w:hint="eastAsia" w:ascii="宋体" w:hAnsi="宋体"/>
                <w:b/>
                <w:sz w:val="21"/>
                <w:szCs w:val="21"/>
              </w:rPr>
              <w:t>≤</w:t>
            </w:r>
            <w:r>
              <w:rPr>
                <w:rFonts w:hint="eastAsia" w:ascii="宋体" w:hAnsi="宋体"/>
                <w:b/>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0" w:type="dxa"/>
            <w:noWrap w:val="0"/>
            <w:vAlign w:val="center"/>
          </w:tcPr>
          <w:p>
            <w:pPr>
              <w:jc w:val="center"/>
              <w:rPr>
                <w:rFonts w:ascii="宋体" w:hAnsi="宋体"/>
                <w:b/>
                <w:sz w:val="21"/>
                <w:szCs w:val="21"/>
              </w:rPr>
            </w:pPr>
            <w:r>
              <w:rPr>
                <w:rFonts w:hint="eastAsia" w:ascii="宋体" w:hAnsi="宋体"/>
                <w:b/>
                <w:sz w:val="21"/>
                <w:szCs w:val="21"/>
                <w:lang w:val="en-US" w:eastAsia="zh-CN"/>
              </w:rPr>
              <w:t>高锰酸盐指数</w:t>
            </w:r>
          </w:p>
        </w:tc>
        <w:tc>
          <w:tcPr>
            <w:tcW w:w="2984" w:type="dxa"/>
            <w:noWrap w:val="0"/>
            <w:vAlign w:val="center"/>
          </w:tcPr>
          <w:p>
            <w:pPr>
              <w:jc w:val="center"/>
              <w:rPr>
                <w:rFonts w:hint="default" w:ascii="宋体" w:hAnsi="宋体" w:eastAsia="宋体"/>
                <w:b/>
                <w:sz w:val="21"/>
                <w:szCs w:val="21"/>
                <w:lang w:val="en-US" w:eastAsia="zh-CN"/>
              </w:rPr>
            </w:pPr>
            <w:r>
              <w:rPr>
                <w:rFonts w:hint="eastAsia" w:ascii="宋体" w:hAnsi="宋体"/>
                <w:b/>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0" w:type="dxa"/>
            <w:noWrap w:val="0"/>
            <w:vAlign w:val="center"/>
          </w:tcPr>
          <w:p>
            <w:pPr>
              <w:jc w:val="center"/>
              <w:rPr>
                <w:rFonts w:ascii="宋体" w:hAnsi="宋体"/>
                <w:b/>
                <w:sz w:val="21"/>
                <w:szCs w:val="21"/>
              </w:rPr>
            </w:pPr>
            <w:r>
              <w:rPr>
                <w:rFonts w:hint="eastAsia" w:ascii="宋体" w:hAnsi="宋体"/>
                <w:b/>
                <w:color w:val="FF0000"/>
                <w:sz w:val="21"/>
                <w:szCs w:val="21"/>
              </w:rPr>
              <w:t>化学需氧量</w:t>
            </w:r>
            <w:r>
              <w:rPr>
                <w:rFonts w:hint="eastAsia" w:ascii="宋体" w:hAnsi="宋体"/>
                <w:b/>
                <w:sz w:val="21"/>
                <w:szCs w:val="21"/>
              </w:rPr>
              <w:t>（㎎</w:t>
            </w:r>
            <w:r>
              <w:rPr>
                <w:rFonts w:ascii="宋体" w:hAnsi="宋体"/>
                <w:b/>
                <w:sz w:val="21"/>
                <w:szCs w:val="21"/>
              </w:rPr>
              <w:t>/L</w:t>
            </w:r>
            <w:r>
              <w:rPr>
                <w:rFonts w:hint="eastAsia" w:ascii="宋体" w:hAnsi="宋体"/>
                <w:b/>
                <w:sz w:val="21"/>
                <w:szCs w:val="21"/>
              </w:rPr>
              <w:t>）</w:t>
            </w:r>
          </w:p>
        </w:tc>
        <w:tc>
          <w:tcPr>
            <w:tcW w:w="2984" w:type="dxa"/>
            <w:noWrap w:val="0"/>
            <w:vAlign w:val="center"/>
          </w:tcPr>
          <w:p>
            <w:pPr>
              <w:jc w:val="center"/>
              <w:rPr>
                <w:rFonts w:ascii="宋体" w:hAnsi="宋体"/>
                <w:b/>
                <w:sz w:val="21"/>
                <w:szCs w:val="21"/>
              </w:rPr>
            </w:pPr>
            <w:r>
              <w:rPr>
                <w:rFonts w:hint="eastAsia" w:ascii="宋体" w:hAnsi="宋体"/>
                <w:b/>
                <w:sz w:val="21"/>
                <w:szCs w:val="21"/>
              </w:rPr>
              <w:t>≤</w:t>
            </w:r>
            <w:r>
              <w:rPr>
                <w:rFonts w:hint="eastAsia" w:ascii="宋体" w:hAnsi="宋体"/>
                <w:b/>
                <w:sz w:val="21"/>
                <w:szCs w:val="21"/>
                <w:lang w:val="en-US" w:eastAsia="zh-CN"/>
              </w:rPr>
              <w:t>3</w:t>
            </w:r>
            <w:r>
              <w:rPr>
                <w:rFonts w:ascii="宋体" w:hAnsi="宋体"/>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0" w:type="dxa"/>
            <w:noWrap w:val="0"/>
            <w:vAlign w:val="center"/>
          </w:tcPr>
          <w:p>
            <w:pPr>
              <w:jc w:val="center"/>
              <w:rPr>
                <w:rFonts w:ascii="宋体" w:hAnsi="宋体"/>
                <w:b/>
                <w:sz w:val="21"/>
                <w:szCs w:val="21"/>
              </w:rPr>
            </w:pPr>
            <w:r>
              <w:rPr>
                <w:rFonts w:hint="eastAsia" w:ascii="宋体" w:hAnsi="宋体"/>
                <w:b/>
                <w:color w:val="FF0000"/>
                <w:sz w:val="21"/>
                <w:szCs w:val="21"/>
              </w:rPr>
              <w:t>总磷</w:t>
            </w:r>
            <w:r>
              <w:rPr>
                <w:rFonts w:hint="eastAsia" w:ascii="宋体" w:hAnsi="宋体"/>
                <w:b/>
                <w:sz w:val="21"/>
                <w:szCs w:val="21"/>
              </w:rPr>
              <w:t>（㎎</w:t>
            </w:r>
            <w:r>
              <w:rPr>
                <w:rFonts w:ascii="宋体" w:hAnsi="宋体"/>
                <w:b/>
                <w:sz w:val="21"/>
                <w:szCs w:val="21"/>
              </w:rPr>
              <w:t>/L</w:t>
            </w:r>
            <w:r>
              <w:rPr>
                <w:rFonts w:hint="eastAsia" w:ascii="宋体" w:hAnsi="宋体"/>
                <w:b/>
                <w:sz w:val="21"/>
                <w:szCs w:val="21"/>
              </w:rPr>
              <w:t>）</w:t>
            </w:r>
          </w:p>
        </w:tc>
        <w:tc>
          <w:tcPr>
            <w:tcW w:w="2984" w:type="dxa"/>
            <w:noWrap w:val="0"/>
            <w:vAlign w:val="center"/>
          </w:tcPr>
          <w:p>
            <w:pPr>
              <w:jc w:val="center"/>
              <w:rPr>
                <w:rFonts w:hint="eastAsia" w:ascii="宋体" w:hAnsi="宋体" w:eastAsia="宋体"/>
                <w:b/>
                <w:sz w:val="21"/>
                <w:szCs w:val="21"/>
                <w:lang w:eastAsia="zh-CN"/>
              </w:rPr>
            </w:pPr>
            <w:r>
              <w:rPr>
                <w:rFonts w:hint="eastAsia" w:ascii="宋体" w:hAnsi="宋体"/>
                <w:b/>
                <w:sz w:val="21"/>
                <w:szCs w:val="21"/>
              </w:rPr>
              <w:t>≤</w:t>
            </w:r>
            <w:r>
              <w:rPr>
                <w:rFonts w:ascii="宋体" w:hAnsi="宋体"/>
                <w:b/>
                <w:sz w:val="21"/>
                <w:szCs w:val="21"/>
              </w:rPr>
              <w:t>0.</w:t>
            </w:r>
            <w:r>
              <w:rPr>
                <w:rFonts w:hint="eastAsia" w:ascii="宋体" w:hAnsi="宋体"/>
                <w:b/>
                <w:sz w:val="21"/>
                <w:szCs w:val="21"/>
                <w:lang w:val="en-US" w:eastAsia="zh-CN"/>
              </w:rPr>
              <w:t>3</w:t>
            </w:r>
          </w:p>
        </w:tc>
      </w:tr>
    </w:tbl>
    <w:p>
      <w:pPr>
        <w:pStyle w:val="7"/>
        <w:keepNext w:val="0"/>
        <w:keepLines w:val="0"/>
        <w:pageBreakBefore w:val="0"/>
        <w:widowControl w:val="0"/>
        <w:kinsoku/>
        <w:wordWrap/>
        <w:overflowPunct/>
        <w:topLinePunct w:val="0"/>
        <w:autoSpaceDE/>
        <w:autoSpaceDN/>
        <w:bidi w:val="0"/>
        <w:adjustRightInd/>
        <w:snapToGrid/>
        <w:spacing w:line="480" w:lineRule="exact"/>
        <w:ind w:right="295"/>
        <w:jc w:val="both"/>
        <w:textAlignment w:val="auto"/>
        <w:rPr>
          <w:rFonts w:hint="eastAsia" w:ascii="宋体" w:hAnsi="宋体"/>
          <w:sz w:val="28"/>
          <w:szCs w:val="28"/>
        </w:rPr>
      </w:pPr>
    </w:p>
    <w:p>
      <w:pPr>
        <w:pStyle w:val="7"/>
        <w:keepNext w:val="0"/>
        <w:keepLines w:val="0"/>
        <w:pageBreakBefore w:val="0"/>
        <w:widowControl w:val="0"/>
        <w:kinsoku/>
        <w:wordWrap/>
        <w:overflowPunct/>
        <w:topLinePunct w:val="0"/>
        <w:autoSpaceDE/>
        <w:autoSpaceDN/>
        <w:bidi w:val="0"/>
        <w:adjustRightInd/>
        <w:snapToGrid/>
        <w:spacing w:line="480" w:lineRule="exact"/>
        <w:ind w:right="295"/>
        <w:jc w:val="both"/>
        <w:textAlignment w:val="auto"/>
        <w:rPr>
          <w:rFonts w:hint="eastAsia" w:ascii="宋体" w:hAnsi="宋体"/>
          <w:sz w:val="28"/>
          <w:szCs w:val="28"/>
        </w:rPr>
      </w:pPr>
      <w:r>
        <w:rPr>
          <w:rFonts w:hint="eastAsia" w:ascii="宋体" w:hAnsi="宋体"/>
          <w:sz w:val="28"/>
          <w:szCs w:val="28"/>
        </w:rPr>
        <w:br w:type="page"/>
      </w:r>
    </w:p>
    <w:p>
      <w:pPr>
        <w:pStyle w:val="7"/>
        <w:keepNext w:val="0"/>
        <w:keepLines w:val="0"/>
        <w:pageBreakBefore w:val="0"/>
        <w:widowControl w:val="0"/>
        <w:kinsoku/>
        <w:wordWrap/>
        <w:overflowPunct/>
        <w:topLinePunct w:val="0"/>
        <w:autoSpaceDE/>
        <w:autoSpaceDN/>
        <w:bidi w:val="0"/>
        <w:adjustRightInd/>
        <w:snapToGrid/>
        <w:spacing w:line="480" w:lineRule="exact"/>
        <w:ind w:left="119" w:right="295" w:firstLine="482"/>
        <w:jc w:val="center"/>
        <w:textAlignment w:val="auto"/>
        <w:rPr>
          <w:rFonts w:hint="eastAsia"/>
          <w:sz w:val="21"/>
          <w:szCs w:val="21"/>
          <w:lang w:val="en-US" w:eastAsia="zh-CN"/>
        </w:rPr>
      </w:pPr>
      <w:r>
        <w:rPr>
          <w:rFonts w:hint="eastAsia" w:ascii="宋体" w:hAnsi="宋体"/>
          <w:sz w:val="21"/>
          <w:szCs w:val="21"/>
        </w:rPr>
        <w:t>表</w:t>
      </w:r>
      <w:r>
        <w:rPr>
          <w:rFonts w:hint="eastAsia" w:ascii="宋体" w:hAnsi="宋体"/>
          <w:sz w:val="21"/>
          <w:szCs w:val="21"/>
          <w:lang w:val="en-US" w:eastAsia="zh-CN"/>
        </w:rPr>
        <w:t>1.3</w:t>
      </w:r>
      <w:r>
        <w:rPr>
          <w:rFonts w:hint="eastAsia" w:ascii="宋体" w:hAnsi="宋体"/>
          <w:sz w:val="21"/>
          <w:szCs w:val="21"/>
        </w:rPr>
        <w:t>水质达标技术指标</w:t>
      </w:r>
      <w:r>
        <w:rPr>
          <w:rFonts w:hint="eastAsia" w:ascii="宋体" w:hAnsi="宋体"/>
          <w:sz w:val="21"/>
          <w:szCs w:val="21"/>
          <w:lang w:eastAsia="zh-CN"/>
        </w:rPr>
        <w:t>（地表三类）</w:t>
      </w:r>
    </w:p>
    <w:tbl>
      <w:tblPr>
        <w:tblStyle w:val="9"/>
        <w:tblW w:w="6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0"/>
        <w:gridCol w:w="2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750" w:type="dxa"/>
            <w:noWrap w:val="0"/>
            <w:vAlign w:val="center"/>
          </w:tcPr>
          <w:p>
            <w:pPr>
              <w:jc w:val="center"/>
              <w:rPr>
                <w:rFonts w:ascii="宋体" w:hAnsi="宋体"/>
                <w:b/>
                <w:sz w:val="21"/>
                <w:szCs w:val="21"/>
              </w:rPr>
            </w:pPr>
            <w:r>
              <w:rPr>
                <w:rFonts w:hint="eastAsia" w:ascii="宋体" w:hAnsi="宋体"/>
                <w:b/>
                <w:sz w:val="21"/>
                <w:szCs w:val="21"/>
              </w:rPr>
              <w:t>特征指标（单位）</w:t>
            </w:r>
          </w:p>
        </w:tc>
        <w:tc>
          <w:tcPr>
            <w:tcW w:w="2984" w:type="dxa"/>
            <w:noWrap w:val="0"/>
            <w:vAlign w:val="center"/>
          </w:tcPr>
          <w:p>
            <w:pPr>
              <w:jc w:val="center"/>
              <w:rPr>
                <w:rFonts w:ascii="宋体" w:hAnsi="宋体"/>
                <w:b/>
                <w:sz w:val="21"/>
                <w:szCs w:val="21"/>
              </w:rPr>
            </w:pPr>
            <w:r>
              <w:rPr>
                <w:rFonts w:hint="eastAsia" w:ascii="宋体" w:hAnsi="宋体"/>
                <w:b/>
                <w:sz w:val="21"/>
                <w:szCs w:val="21"/>
              </w:rPr>
              <w:t>目标指标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750" w:type="dxa"/>
            <w:noWrap w:val="0"/>
            <w:vAlign w:val="center"/>
          </w:tcPr>
          <w:p>
            <w:pPr>
              <w:jc w:val="center"/>
              <w:rPr>
                <w:rFonts w:ascii="宋体" w:hAnsi="宋体"/>
                <w:b/>
                <w:sz w:val="21"/>
                <w:szCs w:val="21"/>
              </w:rPr>
            </w:pPr>
            <w:r>
              <w:rPr>
                <w:rFonts w:hint="eastAsia" w:ascii="宋体" w:hAnsi="宋体"/>
                <w:b/>
                <w:sz w:val="21"/>
                <w:szCs w:val="21"/>
              </w:rPr>
              <w:t>透明度（㎝）</w:t>
            </w:r>
          </w:p>
        </w:tc>
        <w:tc>
          <w:tcPr>
            <w:tcW w:w="2984" w:type="dxa"/>
            <w:noWrap w:val="0"/>
            <w:vAlign w:val="center"/>
          </w:tcPr>
          <w:p>
            <w:pPr>
              <w:jc w:val="center"/>
              <w:rPr>
                <w:rFonts w:hint="default" w:ascii="宋体" w:hAnsi="宋体" w:eastAsia="宋体"/>
                <w:b/>
                <w:sz w:val="21"/>
                <w:szCs w:val="21"/>
                <w:lang w:val="en-US" w:eastAsia="zh-CN"/>
              </w:rPr>
            </w:pPr>
            <w:r>
              <w:rPr>
                <w:rFonts w:hint="eastAsia" w:ascii="宋体" w:hAnsi="宋体"/>
                <w:b/>
                <w:sz w:val="21"/>
                <w:szCs w:val="21"/>
              </w:rPr>
              <w:t>≥</w:t>
            </w:r>
            <w:r>
              <w:rPr>
                <w:rFonts w:hint="eastAsia" w:ascii="宋体" w:hAnsi="宋体"/>
                <w:b/>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750" w:type="dxa"/>
            <w:noWrap w:val="0"/>
            <w:vAlign w:val="center"/>
          </w:tcPr>
          <w:p>
            <w:pPr>
              <w:jc w:val="center"/>
              <w:rPr>
                <w:rFonts w:ascii="宋体" w:hAnsi="宋体"/>
                <w:b/>
                <w:sz w:val="21"/>
                <w:szCs w:val="21"/>
              </w:rPr>
            </w:pPr>
            <w:r>
              <w:rPr>
                <w:rFonts w:hint="eastAsia" w:ascii="宋体" w:hAnsi="宋体"/>
                <w:b/>
                <w:sz w:val="21"/>
                <w:szCs w:val="21"/>
              </w:rPr>
              <w:t>氧化还原电位（</w:t>
            </w:r>
            <w:r>
              <w:rPr>
                <w:rFonts w:ascii="宋体" w:hAnsi="宋体"/>
                <w:b/>
                <w:sz w:val="21"/>
                <w:szCs w:val="21"/>
              </w:rPr>
              <w:t>mV</w:t>
            </w:r>
            <w:r>
              <w:rPr>
                <w:rFonts w:hint="eastAsia" w:ascii="宋体" w:hAnsi="宋体"/>
                <w:b/>
                <w:sz w:val="21"/>
                <w:szCs w:val="21"/>
              </w:rPr>
              <w:t>）</w:t>
            </w:r>
          </w:p>
        </w:tc>
        <w:tc>
          <w:tcPr>
            <w:tcW w:w="2984" w:type="dxa"/>
            <w:noWrap w:val="0"/>
            <w:vAlign w:val="center"/>
          </w:tcPr>
          <w:p>
            <w:pPr>
              <w:jc w:val="center"/>
              <w:rPr>
                <w:rFonts w:ascii="宋体" w:hAnsi="宋体"/>
                <w:b/>
                <w:sz w:val="21"/>
                <w:szCs w:val="21"/>
              </w:rPr>
            </w:pPr>
            <w:r>
              <w:rPr>
                <w:rFonts w:hint="eastAsia" w:ascii="宋体" w:hAnsi="宋体"/>
                <w:b/>
                <w:sz w:val="21"/>
                <w:szCs w:val="21"/>
              </w:rPr>
              <w:t>≥</w:t>
            </w:r>
            <w:r>
              <w:rPr>
                <w:rFonts w:ascii="宋体" w:hAnsi="宋体"/>
                <w:b/>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750" w:type="dxa"/>
            <w:noWrap w:val="0"/>
            <w:vAlign w:val="center"/>
          </w:tcPr>
          <w:p>
            <w:pPr>
              <w:jc w:val="center"/>
              <w:rPr>
                <w:rFonts w:hint="eastAsia" w:ascii="宋体" w:hAnsi="宋体"/>
                <w:b/>
                <w:sz w:val="21"/>
                <w:szCs w:val="21"/>
              </w:rPr>
            </w:pPr>
            <w:r>
              <w:rPr>
                <w:rFonts w:hint="eastAsia" w:ascii="宋体" w:hAnsi="宋体"/>
                <w:b/>
                <w:sz w:val="21"/>
                <w:szCs w:val="21"/>
              </w:rPr>
              <w:t>溶解氧（㎎</w:t>
            </w:r>
            <w:r>
              <w:rPr>
                <w:rFonts w:ascii="宋体" w:hAnsi="宋体"/>
                <w:b/>
                <w:sz w:val="21"/>
                <w:szCs w:val="21"/>
              </w:rPr>
              <w:t>/L</w:t>
            </w:r>
            <w:r>
              <w:rPr>
                <w:rFonts w:hint="eastAsia" w:ascii="宋体" w:hAnsi="宋体"/>
                <w:b/>
                <w:sz w:val="21"/>
                <w:szCs w:val="21"/>
              </w:rPr>
              <w:t>）</w:t>
            </w:r>
          </w:p>
        </w:tc>
        <w:tc>
          <w:tcPr>
            <w:tcW w:w="2984" w:type="dxa"/>
            <w:noWrap w:val="0"/>
            <w:vAlign w:val="center"/>
          </w:tcPr>
          <w:p>
            <w:pPr>
              <w:jc w:val="center"/>
              <w:rPr>
                <w:rFonts w:hint="eastAsia" w:ascii="宋体" w:hAnsi="宋体"/>
                <w:b/>
                <w:sz w:val="21"/>
                <w:szCs w:val="21"/>
              </w:rPr>
            </w:pPr>
            <w:r>
              <w:rPr>
                <w:rFonts w:hint="eastAsia" w:ascii="宋体" w:hAnsi="宋体"/>
                <w:b/>
                <w:sz w:val="21"/>
                <w:szCs w:val="21"/>
              </w:rPr>
              <w:t>≥</w:t>
            </w:r>
            <w:r>
              <w:rPr>
                <w:rFonts w:hint="eastAsia" w:ascii="宋体" w:hAnsi="宋体"/>
                <w:b/>
                <w:sz w:val="21"/>
                <w:szCs w:val="21"/>
                <w:lang w:val="en-US" w:eastAsia="zh-CN"/>
              </w:rPr>
              <w:t>5</w:t>
            </w:r>
            <w:r>
              <w:rPr>
                <w:rFonts w:ascii="宋体" w:hAnsi="宋体"/>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750" w:type="dxa"/>
            <w:noWrap w:val="0"/>
            <w:vAlign w:val="center"/>
          </w:tcPr>
          <w:p>
            <w:pPr>
              <w:jc w:val="center"/>
              <w:rPr>
                <w:rFonts w:ascii="宋体" w:hAnsi="宋体"/>
                <w:b/>
                <w:sz w:val="21"/>
                <w:szCs w:val="21"/>
              </w:rPr>
            </w:pPr>
            <w:r>
              <w:rPr>
                <w:rFonts w:hint="eastAsia" w:ascii="宋体" w:hAnsi="宋体"/>
                <w:b/>
                <w:sz w:val="21"/>
                <w:szCs w:val="21"/>
              </w:rPr>
              <w:t>氨氮（㎎</w:t>
            </w:r>
            <w:r>
              <w:rPr>
                <w:rFonts w:ascii="宋体" w:hAnsi="宋体"/>
                <w:b/>
                <w:sz w:val="21"/>
                <w:szCs w:val="21"/>
              </w:rPr>
              <w:t>/L</w:t>
            </w:r>
            <w:r>
              <w:rPr>
                <w:rFonts w:hint="eastAsia" w:ascii="宋体" w:hAnsi="宋体"/>
                <w:b/>
                <w:sz w:val="21"/>
                <w:szCs w:val="21"/>
              </w:rPr>
              <w:t>）</w:t>
            </w:r>
          </w:p>
        </w:tc>
        <w:tc>
          <w:tcPr>
            <w:tcW w:w="2984" w:type="dxa"/>
            <w:noWrap w:val="0"/>
            <w:vAlign w:val="center"/>
          </w:tcPr>
          <w:p>
            <w:pPr>
              <w:jc w:val="center"/>
              <w:rPr>
                <w:rFonts w:ascii="宋体" w:hAnsi="宋体"/>
                <w:b/>
                <w:sz w:val="21"/>
                <w:szCs w:val="21"/>
              </w:rPr>
            </w:pPr>
            <w:r>
              <w:rPr>
                <w:rFonts w:hint="eastAsia" w:ascii="宋体" w:hAnsi="宋体"/>
                <w:b/>
                <w:sz w:val="21"/>
                <w:szCs w:val="21"/>
              </w:rPr>
              <w:t>≤</w:t>
            </w:r>
            <w:r>
              <w:rPr>
                <w:rFonts w:hint="eastAsia" w:ascii="宋体" w:hAnsi="宋体"/>
                <w:b/>
                <w:sz w:val="21"/>
                <w:szCs w:val="21"/>
                <w:lang w:val="en-US" w:eastAsia="zh-CN"/>
              </w:rPr>
              <w:t>1</w:t>
            </w:r>
            <w:r>
              <w:rPr>
                <w:rFonts w:ascii="宋体" w:hAnsi="宋体"/>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0" w:type="dxa"/>
            <w:noWrap w:val="0"/>
            <w:vAlign w:val="center"/>
          </w:tcPr>
          <w:p>
            <w:pPr>
              <w:jc w:val="center"/>
              <w:rPr>
                <w:rFonts w:ascii="宋体" w:hAnsi="宋体"/>
                <w:b/>
                <w:sz w:val="21"/>
                <w:szCs w:val="21"/>
              </w:rPr>
            </w:pPr>
            <w:r>
              <w:rPr>
                <w:rFonts w:hint="eastAsia" w:ascii="宋体" w:hAnsi="宋体"/>
                <w:b/>
                <w:sz w:val="21"/>
                <w:szCs w:val="21"/>
                <w:lang w:val="en-US" w:eastAsia="zh-CN"/>
              </w:rPr>
              <w:t>高锰酸盐指数</w:t>
            </w:r>
          </w:p>
        </w:tc>
        <w:tc>
          <w:tcPr>
            <w:tcW w:w="2984" w:type="dxa"/>
            <w:noWrap w:val="0"/>
            <w:vAlign w:val="center"/>
          </w:tcPr>
          <w:p>
            <w:pPr>
              <w:jc w:val="center"/>
              <w:rPr>
                <w:rFonts w:hint="eastAsia" w:ascii="宋体" w:hAnsi="宋体" w:eastAsia="宋体"/>
                <w:b/>
                <w:sz w:val="21"/>
                <w:szCs w:val="21"/>
                <w:lang w:eastAsia="zh-CN"/>
              </w:rPr>
            </w:pPr>
            <w:r>
              <w:rPr>
                <w:rFonts w:hint="eastAsia" w:ascii="宋体" w:hAnsi="宋体"/>
                <w:b/>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750" w:type="dxa"/>
            <w:noWrap w:val="0"/>
            <w:vAlign w:val="center"/>
          </w:tcPr>
          <w:p>
            <w:pPr>
              <w:jc w:val="center"/>
              <w:rPr>
                <w:rFonts w:ascii="宋体" w:hAnsi="宋体"/>
                <w:b/>
                <w:sz w:val="21"/>
                <w:szCs w:val="21"/>
              </w:rPr>
            </w:pPr>
            <w:r>
              <w:rPr>
                <w:rFonts w:hint="eastAsia" w:ascii="宋体" w:hAnsi="宋体"/>
                <w:b/>
                <w:color w:val="FF0000"/>
                <w:sz w:val="21"/>
                <w:szCs w:val="21"/>
              </w:rPr>
              <w:t>化学需氧量</w:t>
            </w:r>
            <w:r>
              <w:rPr>
                <w:rFonts w:hint="eastAsia" w:ascii="宋体" w:hAnsi="宋体"/>
                <w:b/>
                <w:sz w:val="21"/>
                <w:szCs w:val="21"/>
              </w:rPr>
              <w:t>（㎎</w:t>
            </w:r>
            <w:r>
              <w:rPr>
                <w:rFonts w:ascii="宋体" w:hAnsi="宋体"/>
                <w:b/>
                <w:sz w:val="21"/>
                <w:szCs w:val="21"/>
              </w:rPr>
              <w:t>/L</w:t>
            </w:r>
            <w:r>
              <w:rPr>
                <w:rFonts w:hint="eastAsia" w:ascii="宋体" w:hAnsi="宋体"/>
                <w:b/>
                <w:sz w:val="21"/>
                <w:szCs w:val="21"/>
              </w:rPr>
              <w:t>）</w:t>
            </w:r>
          </w:p>
        </w:tc>
        <w:tc>
          <w:tcPr>
            <w:tcW w:w="2984" w:type="dxa"/>
            <w:noWrap w:val="0"/>
            <w:vAlign w:val="center"/>
          </w:tcPr>
          <w:p>
            <w:pPr>
              <w:jc w:val="center"/>
              <w:rPr>
                <w:rFonts w:ascii="宋体" w:hAnsi="宋体"/>
                <w:b/>
                <w:sz w:val="21"/>
                <w:szCs w:val="21"/>
              </w:rPr>
            </w:pPr>
            <w:r>
              <w:rPr>
                <w:rFonts w:hint="eastAsia" w:ascii="宋体" w:hAnsi="宋体"/>
                <w:b/>
                <w:sz w:val="21"/>
                <w:szCs w:val="21"/>
              </w:rPr>
              <w:t>≤</w:t>
            </w:r>
            <w:r>
              <w:rPr>
                <w:rFonts w:hint="eastAsia" w:ascii="宋体" w:hAnsi="宋体"/>
                <w:b/>
                <w:sz w:val="21"/>
                <w:szCs w:val="21"/>
                <w:lang w:val="en-US" w:eastAsia="zh-CN"/>
              </w:rPr>
              <w:t>2</w:t>
            </w:r>
            <w:r>
              <w:rPr>
                <w:rFonts w:ascii="宋体" w:hAnsi="宋体"/>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750" w:type="dxa"/>
            <w:noWrap w:val="0"/>
            <w:vAlign w:val="center"/>
          </w:tcPr>
          <w:p>
            <w:pPr>
              <w:jc w:val="center"/>
              <w:rPr>
                <w:rFonts w:ascii="宋体" w:hAnsi="宋体"/>
                <w:b/>
                <w:sz w:val="21"/>
                <w:szCs w:val="21"/>
              </w:rPr>
            </w:pPr>
            <w:r>
              <w:rPr>
                <w:rFonts w:hint="eastAsia" w:ascii="宋体" w:hAnsi="宋体"/>
                <w:b/>
                <w:color w:val="FF0000"/>
                <w:sz w:val="21"/>
                <w:szCs w:val="21"/>
              </w:rPr>
              <w:t>总磷</w:t>
            </w:r>
            <w:r>
              <w:rPr>
                <w:rFonts w:hint="eastAsia" w:ascii="宋体" w:hAnsi="宋体"/>
                <w:b/>
                <w:sz w:val="21"/>
                <w:szCs w:val="21"/>
              </w:rPr>
              <w:t>（㎎</w:t>
            </w:r>
            <w:r>
              <w:rPr>
                <w:rFonts w:ascii="宋体" w:hAnsi="宋体"/>
                <w:b/>
                <w:sz w:val="21"/>
                <w:szCs w:val="21"/>
              </w:rPr>
              <w:t>/L</w:t>
            </w:r>
            <w:r>
              <w:rPr>
                <w:rFonts w:hint="eastAsia" w:ascii="宋体" w:hAnsi="宋体"/>
                <w:b/>
                <w:sz w:val="21"/>
                <w:szCs w:val="21"/>
              </w:rPr>
              <w:t>）</w:t>
            </w:r>
          </w:p>
        </w:tc>
        <w:tc>
          <w:tcPr>
            <w:tcW w:w="2984" w:type="dxa"/>
            <w:noWrap w:val="0"/>
            <w:vAlign w:val="center"/>
          </w:tcPr>
          <w:p>
            <w:pPr>
              <w:jc w:val="center"/>
              <w:rPr>
                <w:rFonts w:hint="eastAsia" w:ascii="宋体" w:hAnsi="宋体" w:eastAsia="宋体"/>
                <w:b/>
                <w:sz w:val="21"/>
                <w:szCs w:val="21"/>
                <w:lang w:eastAsia="zh-CN"/>
              </w:rPr>
            </w:pPr>
            <w:r>
              <w:rPr>
                <w:rFonts w:hint="eastAsia" w:ascii="宋体" w:hAnsi="宋体"/>
                <w:b/>
                <w:sz w:val="21"/>
                <w:szCs w:val="21"/>
              </w:rPr>
              <w:t>≤</w:t>
            </w:r>
            <w:r>
              <w:rPr>
                <w:rFonts w:ascii="宋体" w:hAnsi="宋体"/>
                <w:b/>
                <w:sz w:val="21"/>
                <w:szCs w:val="21"/>
              </w:rPr>
              <w:t>0.</w:t>
            </w:r>
            <w:r>
              <w:rPr>
                <w:rFonts w:hint="eastAsia" w:ascii="宋体" w:hAnsi="宋体"/>
                <w:b/>
                <w:sz w:val="21"/>
                <w:szCs w:val="21"/>
                <w:lang w:val="en-US" w:eastAsia="zh-CN"/>
              </w:rPr>
              <w:t>2</w:t>
            </w:r>
          </w:p>
        </w:tc>
      </w:tr>
    </w:tbl>
    <w:p>
      <w:pPr>
        <w:pStyle w:val="7"/>
        <w:spacing w:line="580" w:lineRule="exact"/>
        <w:ind w:right="100" w:firstLine="422" w:firstLineChars="200"/>
        <w:jc w:val="left"/>
        <w:rPr>
          <w:rFonts w:hint="eastAsia" w:ascii="宋体" w:hAnsi="宋体"/>
          <w:b/>
          <w:bCs/>
          <w:sz w:val="28"/>
          <w:szCs w:val="28"/>
        </w:rPr>
      </w:pPr>
      <w:r>
        <w:rPr>
          <w:rFonts w:hint="eastAsia" w:ascii="宋体" w:hAnsi="宋体"/>
          <w:b/>
          <w:bCs/>
          <w:sz w:val="21"/>
          <w:szCs w:val="21"/>
          <w:lang w:val="en-US" w:eastAsia="zh-CN"/>
        </w:rPr>
        <w:t>上述表格中指标为日常考核指标，招标人可根据需要按照地表水相应类别全指标不定期取样复核，同步列入考核。</w:t>
      </w:r>
    </w:p>
    <w:p>
      <w:pPr>
        <w:pStyle w:val="7"/>
        <w:spacing w:line="580" w:lineRule="exact"/>
        <w:ind w:right="100"/>
        <w:jc w:val="left"/>
        <w:rPr>
          <w:rFonts w:ascii="宋体" w:hAnsi="宋体"/>
          <w:b/>
          <w:bCs/>
          <w:sz w:val="28"/>
          <w:szCs w:val="28"/>
        </w:rPr>
      </w:pPr>
      <w:r>
        <w:rPr>
          <w:rFonts w:hint="eastAsia" w:ascii="宋体" w:hAnsi="宋体"/>
          <w:b/>
          <w:bCs/>
          <w:sz w:val="28"/>
          <w:szCs w:val="28"/>
        </w:rPr>
        <w:t>2、水生态</w:t>
      </w:r>
      <w:r>
        <w:rPr>
          <w:rFonts w:hint="eastAsia" w:ascii="宋体" w:hAnsi="宋体"/>
          <w:b/>
          <w:bCs/>
          <w:sz w:val="28"/>
          <w:szCs w:val="28"/>
          <w:lang w:eastAsia="zh-CN"/>
        </w:rPr>
        <w:t>监测考核</w:t>
      </w:r>
      <w:r>
        <w:rPr>
          <w:rFonts w:hint="eastAsia" w:ascii="宋体" w:hAnsi="宋体"/>
          <w:b/>
          <w:bCs/>
          <w:sz w:val="28"/>
          <w:szCs w:val="28"/>
        </w:rPr>
        <w:t>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过治理及养护，保证河流水质达标，构建以淡水贝类为主，沉水植物为辅的复合型生态系统。其中，淡水贝类作为指示物种，在本底值调查的基础上，逐步恢复以方形环棱螺、梨形环棱螺、田螺等为主的螺类3种以上，以三角帆蚌、褶纹冠蚌、背角无齿蚌、蚶形无齿蚌、圆顶珠蚌、矛蚌、洞穴丽蚌等为主的蚌类7种以上，密度合理，不仅能生存，同时实现自我增殖与繁衍。沉水植物逐步恢复以矮生耐寒苦草、金鱼藻、伊乐藻等为主的复合型群落结构，绿化率达30-40%。实现“清水绿岸、鱼翔浅底”的目标。</w:t>
      </w:r>
    </w:p>
    <w:p>
      <w:pPr>
        <w:pStyle w:val="2"/>
        <w:rPr>
          <w:rFonts w:hint="default"/>
          <w:lang w:val="en-US" w:eastAsia="zh-CN"/>
        </w:rPr>
      </w:pPr>
    </w:p>
    <w:p>
      <w:pPr>
        <w:pStyle w:val="7"/>
        <w:snapToGrid w:val="0"/>
        <w:spacing w:line="360" w:lineRule="auto"/>
        <w:ind w:right="100"/>
        <w:rPr>
          <w:rFonts w:ascii="宋体" w:hAnsi="宋体"/>
          <w:b/>
          <w:bCs/>
          <w:sz w:val="28"/>
          <w:szCs w:val="28"/>
        </w:rPr>
      </w:pPr>
      <w:r>
        <w:rPr>
          <w:rFonts w:hint="eastAsia" w:ascii="宋体" w:hAnsi="宋体"/>
          <w:b/>
          <w:bCs/>
          <w:sz w:val="28"/>
          <w:szCs w:val="28"/>
          <w:lang w:val="en-US" w:eastAsia="zh-CN"/>
        </w:rPr>
        <w:t>3</w:t>
      </w:r>
      <w:r>
        <w:rPr>
          <w:rFonts w:hint="eastAsia" w:ascii="宋体" w:hAnsi="宋体"/>
          <w:b/>
          <w:bCs/>
          <w:sz w:val="28"/>
          <w:szCs w:val="28"/>
        </w:rPr>
        <w:t>、项目考核机制</w:t>
      </w:r>
    </w:p>
    <w:p>
      <w:pPr>
        <w:spacing w:line="360" w:lineRule="auto"/>
        <w:ind w:firstLine="422" w:firstLineChars="200"/>
        <w:rPr>
          <w:rFonts w:ascii="宋体" w:hAnsi="宋体"/>
          <w:bCs/>
          <w:sz w:val="21"/>
          <w:szCs w:val="21"/>
        </w:rPr>
      </w:pPr>
      <w:r>
        <w:rPr>
          <w:rFonts w:hint="eastAsia" w:ascii="宋体" w:hAnsi="宋体" w:cs="宋体"/>
          <w:b/>
          <w:bCs/>
          <w:color w:val="000000"/>
          <w:kern w:val="0"/>
          <w:sz w:val="21"/>
          <w:szCs w:val="21"/>
          <w:lang w:bidi="ar"/>
        </w:rPr>
        <w:t>项目治理结束后</w:t>
      </w:r>
      <w:r>
        <w:rPr>
          <w:rFonts w:hint="eastAsia" w:ascii="宋体" w:hAnsi="宋体" w:cs="宋体"/>
          <w:strike w:val="0"/>
          <w:dstrike w:val="0"/>
          <w:color w:val="000000"/>
          <w:kern w:val="0"/>
          <w:sz w:val="21"/>
          <w:szCs w:val="21"/>
          <w:lang w:bidi="ar"/>
        </w:rPr>
        <w:t>，进入两个月的试</w:t>
      </w:r>
      <w:r>
        <w:rPr>
          <w:rFonts w:hint="eastAsia" w:ascii="宋体" w:hAnsi="宋体" w:cs="宋体"/>
          <w:strike w:val="0"/>
          <w:dstrike w:val="0"/>
          <w:color w:val="000000"/>
          <w:kern w:val="0"/>
          <w:sz w:val="21"/>
          <w:szCs w:val="21"/>
          <w:lang w:eastAsia="zh-CN" w:bidi="ar"/>
        </w:rPr>
        <w:t>运营维护</w:t>
      </w:r>
      <w:r>
        <w:rPr>
          <w:rFonts w:hint="eastAsia" w:ascii="宋体" w:hAnsi="宋体" w:cs="宋体"/>
          <w:strike w:val="0"/>
          <w:dstrike w:val="0"/>
          <w:color w:val="000000"/>
          <w:kern w:val="0"/>
          <w:sz w:val="21"/>
          <w:szCs w:val="21"/>
          <w:lang w:bidi="ar"/>
        </w:rPr>
        <w:t>，试</w:t>
      </w:r>
      <w:r>
        <w:rPr>
          <w:rFonts w:hint="eastAsia" w:ascii="宋体" w:hAnsi="宋体" w:cs="宋体"/>
          <w:strike w:val="0"/>
          <w:dstrike w:val="0"/>
          <w:color w:val="000000"/>
          <w:kern w:val="0"/>
          <w:sz w:val="21"/>
          <w:szCs w:val="21"/>
          <w:lang w:eastAsia="zh-CN" w:bidi="ar"/>
        </w:rPr>
        <w:t>运营维护</w:t>
      </w:r>
      <w:r>
        <w:rPr>
          <w:rFonts w:hint="eastAsia" w:ascii="宋体" w:hAnsi="宋体" w:cs="宋体"/>
          <w:strike w:val="0"/>
          <w:dstrike w:val="0"/>
          <w:color w:val="000000"/>
          <w:kern w:val="0"/>
          <w:sz w:val="21"/>
          <w:szCs w:val="21"/>
          <w:lang w:bidi="ar"/>
        </w:rPr>
        <w:t>期间合格后，</w:t>
      </w:r>
      <w:r>
        <w:rPr>
          <w:rFonts w:hint="eastAsia" w:ascii="宋体" w:hAnsi="宋体" w:cs="宋体"/>
          <w:color w:val="000000"/>
          <w:kern w:val="0"/>
          <w:sz w:val="21"/>
          <w:szCs w:val="21"/>
          <w:lang w:bidi="ar"/>
        </w:rPr>
        <w:t>进入正式</w:t>
      </w:r>
      <w:r>
        <w:rPr>
          <w:rFonts w:hint="eastAsia" w:ascii="宋体" w:hAnsi="宋体" w:cs="宋体"/>
          <w:color w:val="000000"/>
          <w:kern w:val="0"/>
          <w:sz w:val="21"/>
          <w:szCs w:val="21"/>
          <w:lang w:eastAsia="zh-CN" w:bidi="ar"/>
        </w:rPr>
        <w:t>运营维护</w:t>
      </w:r>
      <w:r>
        <w:rPr>
          <w:rFonts w:hint="eastAsia" w:ascii="宋体" w:hAnsi="宋体" w:cs="宋体"/>
          <w:color w:val="000000"/>
          <w:kern w:val="0"/>
          <w:sz w:val="21"/>
          <w:szCs w:val="21"/>
          <w:lang w:bidi="ar"/>
        </w:rPr>
        <w:t>期，开始对每月水质达标技术指标进行考核。</w:t>
      </w:r>
    </w:p>
    <w:p>
      <w:pPr>
        <w:pStyle w:val="7"/>
        <w:numPr>
          <w:ilvl w:val="0"/>
          <w:numId w:val="5"/>
        </w:numPr>
        <w:snapToGrid w:val="0"/>
        <w:spacing w:line="360" w:lineRule="auto"/>
        <w:ind w:left="70" w:leftChars="0" w:right="292" w:firstLine="560" w:firstLineChars="0"/>
        <w:rPr>
          <w:rFonts w:hint="eastAsia" w:ascii="宋体" w:hAnsi="宋体"/>
          <w:bCs/>
          <w:sz w:val="21"/>
          <w:szCs w:val="21"/>
        </w:rPr>
      </w:pPr>
      <w:r>
        <w:rPr>
          <w:rFonts w:hint="eastAsia" w:ascii="宋体" w:hAnsi="宋体"/>
          <w:bCs/>
          <w:sz w:val="21"/>
          <w:szCs w:val="21"/>
          <w:lang w:eastAsia="zh-CN"/>
        </w:rPr>
        <w:t>水质</w:t>
      </w:r>
      <w:r>
        <w:rPr>
          <w:rFonts w:hint="eastAsia" w:ascii="宋体" w:hAnsi="宋体"/>
          <w:bCs/>
          <w:sz w:val="21"/>
          <w:szCs w:val="21"/>
        </w:rPr>
        <w:t>指标考核：</w:t>
      </w:r>
    </w:p>
    <w:p>
      <w:pPr>
        <w:spacing w:line="360" w:lineRule="auto"/>
        <w:ind w:firstLine="420" w:firstLineChars="200"/>
        <w:rPr>
          <w:rFonts w:hint="eastAsia" w:ascii="宋体" w:hAnsi="宋体" w:cs="宋体"/>
          <w:kern w:val="0"/>
          <w:sz w:val="21"/>
          <w:szCs w:val="21"/>
          <w:lang w:bidi="ar"/>
        </w:rPr>
      </w:pP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val="en-US" w:eastAsia="zh-CN" w:bidi="ar"/>
        </w:rPr>
        <w:t>1</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bidi="ar"/>
        </w:rPr>
        <w:t>项</w:t>
      </w:r>
      <w:r>
        <w:rPr>
          <w:rFonts w:hint="eastAsia" w:ascii="宋体" w:hAnsi="宋体" w:cs="宋体"/>
          <w:kern w:val="0"/>
          <w:sz w:val="21"/>
          <w:szCs w:val="21"/>
          <w:lang w:bidi="ar"/>
        </w:rPr>
        <w:t>目进入</w:t>
      </w:r>
      <w:r>
        <w:rPr>
          <w:rFonts w:hint="eastAsia" w:ascii="宋体" w:hAnsi="宋体" w:cs="宋体"/>
          <w:kern w:val="0"/>
          <w:sz w:val="21"/>
          <w:szCs w:val="21"/>
          <w:lang w:eastAsia="zh-CN" w:bidi="ar"/>
        </w:rPr>
        <w:t>运营维护</w:t>
      </w:r>
      <w:r>
        <w:rPr>
          <w:rFonts w:hint="eastAsia" w:ascii="宋体" w:hAnsi="宋体" w:cs="宋体"/>
          <w:kern w:val="0"/>
          <w:sz w:val="21"/>
          <w:szCs w:val="21"/>
          <w:lang w:bidi="ar"/>
        </w:rPr>
        <w:t>期，项目布置监测断面</w:t>
      </w:r>
      <w:r>
        <w:rPr>
          <w:rFonts w:hint="eastAsia" w:ascii="宋体" w:hAnsi="宋体" w:cs="宋体"/>
          <w:b/>
          <w:bCs/>
          <w:kern w:val="0"/>
          <w:sz w:val="21"/>
          <w:szCs w:val="21"/>
          <w:lang w:bidi="ar"/>
        </w:rPr>
        <w:t>（</w:t>
      </w:r>
      <w:r>
        <w:rPr>
          <w:rFonts w:hint="eastAsia" w:ascii="宋体" w:hAnsi="宋体" w:cs="宋体"/>
          <w:b/>
          <w:bCs/>
          <w:kern w:val="0"/>
          <w:sz w:val="21"/>
          <w:szCs w:val="21"/>
          <w:lang w:val="en-US" w:eastAsia="zh-CN" w:bidi="ar"/>
        </w:rPr>
        <w:t>参</w:t>
      </w:r>
      <w:r>
        <w:rPr>
          <w:rFonts w:hint="eastAsia" w:ascii="宋体" w:hAnsi="宋体" w:cs="宋体"/>
          <w:b/>
          <w:bCs/>
          <w:kern w:val="0"/>
          <w:sz w:val="21"/>
          <w:szCs w:val="21"/>
          <w:lang w:bidi="ar"/>
        </w:rPr>
        <w:t>照《城市黑臭水体整治工作指南》要求取样检测</w:t>
      </w:r>
      <w:r>
        <w:rPr>
          <w:rFonts w:hint="eastAsia" w:ascii="宋体" w:hAnsi="宋体" w:cs="宋体"/>
          <w:b/>
          <w:bCs/>
          <w:color w:val="000000"/>
          <w:kern w:val="0"/>
          <w:sz w:val="21"/>
          <w:szCs w:val="21"/>
          <w:lang w:bidi="ar"/>
        </w:rPr>
        <w:t>）</w:t>
      </w:r>
      <w:r>
        <w:rPr>
          <w:rFonts w:hint="eastAsia" w:ascii="宋体" w:hAnsi="宋体" w:cs="宋体"/>
          <w:b/>
          <w:bCs/>
          <w:color w:val="000000"/>
          <w:kern w:val="0"/>
          <w:sz w:val="21"/>
          <w:szCs w:val="21"/>
          <w:lang w:eastAsia="zh-CN" w:bidi="ar"/>
        </w:rPr>
        <w:t>“</w:t>
      </w:r>
      <w:r>
        <w:rPr>
          <w:rFonts w:ascii="Helvetica" w:hAnsi="Helvetica" w:eastAsia="Helvetica" w:cs="Helvetica"/>
          <w:i w:val="0"/>
          <w:iCs w:val="0"/>
          <w:caps w:val="0"/>
          <w:color w:val="000000"/>
          <w:spacing w:val="0"/>
          <w:sz w:val="21"/>
          <w:szCs w:val="21"/>
        </w:rPr>
        <w:t>原则上可沿水体每</w:t>
      </w:r>
      <w:r>
        <w:rPr>
          <w:rFonts w:hint="eastAsia" w:ascii="Helvetica" w:hAnsi="Helvetica" w:eastAsia="宋体" w:cs="Helvetica"/>
          <w:i w:val="0"/>
          <w:iCs w:val="0"/>
          <w:caps w:val="0"/>
          <w:color w:val="000000"/>
          <w:spacing w:val="0"/>
          <w:sz w:val="21"/>
          <w:szCs w:val="21"/>
          <w:lang w:val="en-US" w:eastAsia="zh-CN"/>
        </w:rPr>
        <w:t>公里</w:t>
      </w:r>
      <w:r>
        <w:rPr>
          <w:rFonts w:ascii="Helvetica" w:hAnsi="Helvetica" w:eastAsia="Helvetica" w:cs="Helvetica"/>
          <w:i w:val="0"/>
          <w:iCs w:val="0"/>
          <w:caps w:val="0"/>
          <w:color w:val="000000"/>
          <w:spacing w:val="0"/>
          <w:sz w:val="21"/>
          <w:szCs w:val="21"/>
        </w:rPr>
        <w:t>间距设置检测点，但每个水体的检测点不少于3个。取样点一般设置于水面下0.5m 处，水深不足0.5m 时，应设置在水深的1/2处。</w:t>
      </w:r>
      <w:r>
        <w:rPr>
          <w:rFonts w:hint="eastAsia" w:ascii="宋体" w:hAnsi="宋体" w:cs="宋体"/>
          <w:b/>
          <w:bCs/>
          <w:color w:val="000000"/>
          <w:kern w:val="0"/>
          <w:sz w:val="21"/>
          <w:szCs w:val="21"/>
          <w:lang w:eastAsia="zh-CN" w:bidi="ar"/>
        </w:rPr>
        <w:t>”</w:t>
      </w:r>
      <w:r>
        <w:rPr>
          <w:rFonts w:hint="eastAsia" w:ascii="宋体" w:hAnsi="宋体" w:cs="宋体"/>
          <w:color w:val="000000"/>
          <w:kern w:val="0"/>
          <w:sz w:val="21"/>
          <w:szCs w:val="21"/>
          <w:lang w:bidi="ar"/>
        </w:rPr>
        <w:t>，</w:t>
      </w:r>
      <w:r>
        <w:rPr>
          <w:rFonts w:hint="eastAsia" w:ascii="宋体" w:hAnsi="宋体" w:cs="宋体"/>
          <w:color w:val="FF0000"/>
          <w:kern w:val="0"/>
          <w:sz w:val="21"/>
          <w:szCs w:val="21"/>
          <w:lang w:eastAsia="zh-CN" w:bidi="ar"/>
        </w:rPr>
        <w:t>七</w:t>
      </w:r>
      <w:r>
        <w:rPr>
          <w:rFonts w:hint="eastAsia" w:ascii="宋体" w:hAnsi="宋体" w:cs="宋体"/>
          <w:color w:val="000000"/>
          <w:kern w:val="0"/>
          <w:sz w:val="21"/>
          <w:szCs w:val="21"/>
          <w:lang w:bidi="ar"/>
        </w:rPr>
        <w:t>项指标全部达标视为</w:t>
      </w:r>
      <w:r>
        <w:rPr>
          <w:rFonts w:hint="eastAsia" w:ascii="宋体" w:hAnsi="宋体"/>
          <w:bCs/>
          <w:sz w:val="21"/>
          <w:szCs w:val="21"/>
        </w:rPr>
        <w:t>本条水系</w:t>
      </w:r>
      <w:r>
        <w:rPr>
          <w:rFonts w:hint="eastAsia" w:ascii="宋体" w:hAnsi="宋体" w:cs="宋体"/>
          <w:color w:val="000000"/>
          <w:kern w:val="0"/>
          <w:sz w:val="21"/>
          <w:szCs w:val="21"/>
          <w:lang w:bidi="ar"/>
        </w:rPr>
        <w:t>监测断面周围水质达标。如有一项指标不符合要求视为本条水系监测断面周围</w:t>
      </w:r>
      <w:r>
        <w:rPr>
          <w:rFonts w:hint="eastAsia" w:ascii="宋体" w:hAnsi="宋体" w:cs="宋体"/>
          <w:kern w:val="0"/>
          <w:sz w:val="21"/>
          <w:szCs w:val="21"/>
          <w:lang w:bidi="ar"/>
        </w:rPr>
        <w:t>水质不达标。</w:t>
      </w:r>
      <w:r>
        <w:rPr>
          <w:rFonts w:hint="eastAsia" w:ascii="宋体" w:hAnsi="宋体" w:cs="宋体"/>
          <w:color w:val="000000"/>
          <w:kern w:val="0"/>
          <w:sz w:val="21"/>
          <w:szCs w:val="21"/>
          <w:lang w:bidi="ar"/>
        </w:rPr>
        <w:t>每月监测断面合格率达到</w:t>
      </w:r>
      <w:r>
        <w:rPr>
          <w:rFonts w:hint="eastAsia" w:ascii="宋体" w:hAnsi="宋体" w:cs="宋体"/>
          <w:color w:val="000000"/>
          <w:kern w:val="0"/>
          <w:sz w:val="21"/>
          <w:szCs w:val="21"/>
          <w:lang w:val="en-US" w:eastAsia="zh-CN" w:bidi="ar"/>
        </w:rPr>
        <w:t>8</w:t>
      </w:r>
      <w:r>
        <w:rPr>
          <w:rFonts w:hint="eastAsia" w:ascii="宋体" w:hAnsi="宋体" w:cs="宋体"/>
          <w:color w:val="000000"/>
          <w:kern w:val="0"/>
          <w:sz w:val="21"/>
          <w:szCs w:val="21"/>
          <w:lang w:bidi="ar"/>
        </w:rPr>
        <w:t>0%，视为本</w:t>
      </w:r>
      <w:r>
        <w:rPr>
          <w:rFonts w:hint="eastAsia" w:ascii="宋体" w:hAnsi="宋体" w:cs="宋体"/>
          <w:color w:val="000000"/>
          <w:kern w:val="0"/>
          <w:sz w:val="21"/>
          <w:szCs w:val="21"/>
          <w:lang w:eastAsia="zh-CN" w:bidi="ar"/>
        </w:rPr>
        <w:t>条水系</w:t>
      </w:r>
      <w:r>
        <w:rPr>
          <w:rFonts w:hint="eastAsia" w:ascii="宋体" w:hAnsi="宋体" w:cs="宋体"/>
          <w:color w:val="000000"/>
          <w:kern w:val="0"/>
          <w:sz w:val="21"/>
          <w:szCs w:val="21"/>
          <w:lang w:bidi="ar"/>
        </w:rPr>
        <w:t>水质达</w:t>
      </w:r>
      <w:r>
        <w:rPr>
          <w:rFonts w:hint="eastAsia" w:ascii="宋体" w:hAnsi="宋体" w:cs="宋体"/>
          <w:kern w:val="0"/>
          <w:sz w:val="21"/>
          <w:szCs w:val="21"/>
          <w:lang w:bidi="ar"/>
        </w:rPr>
        <w:t>标，合格率低于</w:t>
      </w:r>
      <w:r>
        <w:rPr>
          <w:rFonts w:hint="eastAsia" w:ascii="宋体" w:hAnsi="宋体" w:cs="宋体"/>
          <w:kern w:val="0"/>
          <w:sz w:val="21"/>
          <w:szCs w:val="21"/>
          <w:lang w:val="en-US" w:eastAsia="zh-CN" w:bidi="ar"/>
        </w:rPr>
        <w:t>8</w:t>
      </w:r>
      <w:r>
        <w:rPr>
          <w:rFonts w:hint="eastAsia" w:ascii="宋体" w:hAnsi="宋体" w:cs="宋体"/>
          <w:kern w:val="0"/>
          <w:sz w:val="21"/>
          <w:szCs w:val="21"/>
          <w:lang w:bidi="ar"/>
        </w:rPr>
        <w:t>0%视为</w:t>
      </w:r>
      <w:r>
        <w:rPr>
          <w:rFonts w:hint="eastAsia" w:ascii="宋体" w:hAnsi="宋体" w:cs="宋体"/>
          <w:kern w:val="0"/>
          <w:sz w:val="21"/>
          <w:szCs w:val="21"/>
          <w:lang w:eastAsia="zh-CN" w:bidi="ar"/>
        </w:rPr>
        <w:t>本条水系</w:t>
      </w:r>
      <w:r>
        <w:rPr>
          <w:rFonts w:hint="eastAsia" w:ascii="宋体" w:hAnsi="宋体" w:cs="宋体"/>
          <w:kern w:val="0"/>
          <w:sz w:val="21"/>
          <w:szCs w:val="21"/>
          <w:lang w:bidi="ar"/>
        </w:rPr>
        <w:t>当月水质不达标。</w:t>
      </w:r>
    </w:p>
    <w:p>
      <w:pPr>
        <w:pStyle w:val="7"/>
        <w:snapToGrid w:val="0"/>
        <w:spacing w:after="0" w:line="360" w:lineRule="auto"/>
        <w:ind w:firstLine="420" w:firstLineChars="200"/>
        <w:rPr>
          <w:rFonts w:hint="default" w:ascii="宋体" w:hAnsi="宋体"/>
          <w:bCs/>
          <w:sz w:val="21"/>
          <w:szCs w:val="21"/>
          <w:lang w:val="en-US" w:eastAsia="zh-CN"/>
        </w:rPr>
      </w:pPr>
      <w:r>
        <w:rPr>
          <w:rFonts w:hint="eastAsia" w:ascii="宋体" w:hAnsi="宋体"/>
          <w:bCs/>
          <w:sz w:val="21"/>
          <w:szCs w:val="21"/>
          <w:lang w:eastAsia="zh-CN"/>
        </w:rPr>
        <w:t>自进入</w:t>
      </w:r>
      <w:r>
        <w:rPr>
          <w:rFonts w:hint="eastAsia" w:ascii="宋体" w:hAnsi="宋体"/>
          <w:bCs/>
          <w:sz w:val="21"/>
          <w:szCs w:val="21"/>
        </w:rPr>
        <w:t>正式</w:t>
      </w:r>
      <w:r>
        <w:rPr>
          <w:rFonts w:hint="eastAsia" w:ascii="宋体" w:hAnsi="宋体"/>
          <w:bCs/>
          <w:sz w:val="21"/>
          <w:szCs w:val="21"/>
          <w:lang w:eastAsia="zh-CN"/>
        </w:rPr>
        <w:t>运营维护</w:t>
      </w:r>
      <w:r>
        <w:rPr>
          <w:rFonts w:hint="eastAsia" w:ascii="宋体" w:hAnsi="宋体"/>
          <w:bCs/>
          <w:sz w:val="21"/>
          <w:szCs w:val="21"/>
        </w:rPr>
        <w:t>期</w:t>
      </w:r>
      <w:r>
        <w:rPr>
          <w:rFonts w:hint="eastAsia" w:ascii="宋体" w:hAnsi="宋体"/>
          <w:bCs/>
          <w:sz w:val="21"/>
          <w:szCs w:val="21"/>
          <w:lang w:eastAsia="zh-CN"/>
        </w:rPr>
        <w:t>开始，每月由甲方委托具备</w:t>
      </w:r>
      <w:r>
        <w:rPr>
          <w:rFonts w:hint="eastAsia" w:ascii="宋体" w:hAnsi="宋体"/>
          <w:bCs/>
          <w:sz w:val="21"/>
          <w:szCs w:val="21"/>
          <w:lang w:val="en-US" w:eastAsia="zh-CN"/>
        </w:rPr>
        <w:t>CMA资质的第三方环境检测机构出具水质检测报告。</w:t>
      </w:r>
    </w:p>
    <w:p>
      <w:pPr>
        <w:numPr>
          <w:ilvl w:val="0"/>
          <w:numId w:val="6"/>
        </w:numPr>
        <w:spacing w:line="360" w:lineRule="auto"/>
        <w:ind w:left="70" w:leftChars="0" w:firstLine="560" w:firstLineChars="0"/>
        <w:rPr>
          <w:rFonts w:hint="eastAsia" w:ascii="宋体" w:hAnsi="宋体" w:eastAsia="宋体" w:cs="宋体"/>
          <w:kern w:val="0"/>
          <w:sz w:val="21"/>
          <w:szCs w:val="21"/>
          <w:lang w:eastAsia="zh-CN" w:bidi="ar"/>
        </w:rPr>
      </w:pPr>
      <w:r>
        <w:rPr>
          <w:rFonts w:hint="eastAsia" w:ascii="宋体" w:hAnsi="宋体" w:cs="宋体"/>
          <w:kern w:val="0"/>
          <w:sz w:val="21"/>
          <w:szCs w:val="21"/>
          <w:lang w:bidi="ar"/>
        </w:rPr>
        <w:t>考核结果运用：项目经治理后</w:t>
      </w:r>
      <w:r>
        <w:rPr>
          <w:rFonts w:hint="eastAsia" w:ascii="宋体" w:hAnsi="宋体" w:cs="宋体"/>
          <w:strike w:val="0"/>
          <w:dstrike w:val="0"/>
          <w:kern w:val="0"/>
          <w:sz w:val="21"/>
          <w:szCs w:val="21"/>
          <w:lang w:bidi="ar"/>
        </w:rPr>
        <w:t>两个月试</w:t>
      </w:r>
      <w:r>
        <w:rPr>
          <w:rFonts w:hint="eastAsia" w:ascii="宋体" w:hAnsi="宋体" w:cs="宋体"/>
          <w:strike w:val="0"/>
          <w:dstrike w:val="0"/>
          <w:kern w:val="0"/>
          <w:sz w:val="21"/>
          <w:szCs w:val="21"/>
          <w:lang w:eastAsia="zh-CN" w:bidi="ar"/>
        </w:rPr>
        <w:t>运营维护</w:t>
      </w:r>
      <w:r>
        <w:rPr>
          <w:rFonts w:hint="eastAsia" w:ascii="宋体" w:hAnsi="宋体" w:cs="宋体"/>
          <w:strike w:val="0"/>
          <w:dstrike w:val="0"/>
          <w:kern w:val="0"/>
          <w:sz w:val="21"/>
          <w:szCs w:val="21"/>
          <w:lang w:bidi="ar"/>
        </w:rPr>
        <w:t>期合格，进入正式</w:t>
      </w:r>
      <w:r>
        <w:rPr>
          <w:rFonts w:hint="eastAsia" w:ascii="宋体" w:hAnsi="宋体" w:cs="宋体"/>
          <w:strike w:val="0"/>
          <w:dstrike w:val="0"/>
          <w:kern w:val="0"/>
          <w:sz w:val="21"/>
          <w:szCs w:val="21"/>
          <w:lang w:eastAsia="zh-CN" w:bidi="ar"/>
        </w:rPr>
        <w:t>运营维护</w:t>
      </w:r>
      <w:r>
        <w:rPr>
          <w:rFonts w:hint="eastAsia" w:ascii="宋体" w:hAnsi="宋体" w:cs="宋体"/>
          <w:strike w:val="0"/>
          <w:dstrike w:val="0"/>
          <w:kern w:val="0"/>
          <w:sz w:val="21"/>
          <w:szCs w:val="21"/>
          <w:lang w:bidi="ar"/>
        </w:rPr>
        <w:t>期，不符合前述验收标准，进入整改，乙方在完成整改后，</w:t>
      </w:r>
      <w:r>
        <w:rPr>
          <w:rFonts w:hint="eastAsia"/>
          <w:b w:val="0"/>
          <w:strike w:val="0"/>
          <w:dstrike w:val="0"/>
          <w:sz w:val="21"/>
          <w:szCs w:val="21"/>
        </w:rPr>
        <w:t>直至满足验收标准方可进入</w:t>
      </w:r>
      <w:r>
        <w:rPr>
          <w:rFonts w:hint="eastAsia"/>
          <w:b w:val="0"/>
          <w:strike w:val="0"/>
          <w:dstrike w:val="0"/>
          <w:sz w:val="21"/>
          <w:szCs w:val="21"/>
          <w:lang w:val="en-US" w:eastAsia="zh-CN"/>
        </w:rPr>
        <w:t>运营维护</w:t>
      </w:r>
      <w:r>
        <w:rPr>
          <w:rFonts w:hint="eastAsia"/>
          <w:b w:val="0"/>
          <w:strike w:val="0"/>
          <w:dstrike w:val="0"/>
          <w:sz w:val="21"/>
          <w:szCs w:val="21"/>
        </w:rPr>
        <w:t>期计算。</w:t>
      </w:r>
      <w:r>
        <w:rPr>
          <w:rFonts w:hint="eastAsia" w:ascii="宋体" w:hAnsi="宋体" w:cs="宋体"/>
          <w:kern w:val="0"/>
          <w:sz w:val="21"/>
          <w:szCs w:val="21"/>
          <w:lang w:bidi="ar"/>
        </w:rPr>
        <w:t>此项考核实行</w:t>
      </w:r>
      <w:r>
        <w:rPr>
          <w:rFonts w:hint="eastAsia" w:ascii="宋体" w:hAnsi="宋体" w:cs="宋体"/>
          <w:b/>
          <w:bCs/>
          <w:color w:val="auto"/>
          <w:kern w:val="0"/>
          <w:sz w:val="21"/>
          <w:szCs w:val="21"/>
          <w:lang w:bidi="ar"/>
        </w:rPr>
        <w:t>月度</w:t>
      </w:r>
      <w:r>
        <w:rPr>
          <w:rFonts w:hint="eastAsia" w:ascii="宋体" w:hAnsi="宋体" w:cs="宋体"/>
          <w:kern w:val="0"/>
          <w:sz w:val="21"/>
          <w:szCs w:val="21"/>
          <w:lang w:bidi="ar"/>
        </w:rPr>
        <w:t>考核</w:t>
      </w:r>
      <w:r>
        <w:rPr>
          <w:rFonts w:hint="eastAsia" w:ascii="宋体" w:hAnsi="宋体" w:cs="宋体"/>
          <w:kern w:val="0"/>
          <w:sz w:val="21"/>
          <w:szCs w:val="21"/>
          <w:lang w:eastAsia="zh-CN" w:bidi="ar"/>
        </w:rPr>
        <w:t>，</w:t>
      </w:r>
      <w:r>
        <w:rPr>
          <w:rFonts w:hint="eastAsia" w:ascii="宋体" w:hAnsi="宋体" w:cs="宋体"/>
          <w:kern w:val="0"/>
          <w:sz w:val="21"/>
          <w:szCs w:val="21"/>
          <w:lang w:bidi="ar"/>
        </w:rPr>
        <w:t>不合格则一票否决。</w:t>
      </w:r>
      <w:r>
        <w:rPr>
          <w:rFonts w:hint="eastAsia" w:ascii="宋体" w:hAnsi="宋体" w:cs="宋体"/>
          <w:kern w:val="0"/>
          <w:sz w:val="21"/>
          <w:szCs w:val="21"/>
          <w:lang w:eastAsia="zh-CN" w:bidi="ar"/>
        </w:rPr>
        <w:t>单条水系水质</w:t>
      </w:r>
      <w:r>
        <w:rPr>
          <w:rFonts w:hint="eastAsia" w:ascii="宋体" w:hAnsi="宋体" w:cs="宋体"/>
          <w:kern w:val="0"/>
          <w:sz w:val="21"/>
          <w:szCs w:val="21"/>
          <w:lang w:bidi="ar"/>
        </w:rPr>
        <w:t>考核每年度达到或超过</w:t>
      </w:r>
      <w:r>
        <w:rPr>
          <w:rFonts w:hint="eastAsia" w:ascii="宋体" w:hAnsi="宋体" w:cs="宋体"/>
          <w:kern w:val="0"/>
          <w:sz w:val="21"/>
          <w:szCs w:val="21"/>
          <w:lang w:val="en-US" w:eastAsia="zh-CN" w:bidi="ar"/>
        </w:rPr>
        <w:t>2</w:t>
      </w:r>
      <w:r>
        <w:rPr>
          <w:rFonts w:hint="eastAsia" w:ascii="宋体" w:hAnsi="宋体" w:cs="宋体"/>
          <w:kern w:val="0"/>
          <w:sz w:val="21"/>
          <w:szCs w:val="21"/>
          <w:lang w:bidi="ar"/>
        </w:rPr>
        <w:t>个月考核不合格，扣除本年度</w:t>
      </w:r>
      <w:r>
        <w:rPr>
          <w:rFonts w:hint="eastAsia" w:ascii="宋体" w:hAnsi="宋体" w:cs="宋体"/>
          <w:kern w:val="0"/>
          <w:sz w:val="21"/>
          <w:szCs w:val="21"/>
          <w:lang w:val="en-US" w:eastAsia="zh-CN" w:bidi="ar"/>
        </w:rPr>
        <w:t>甲方应支付</w:t>
      </w:r>
      <w:r>
        <w:rPr>
          <w:rFonts w:hint="eastAsia" w:ascii="宋体" w:hAnsi="宋体" w:cs="宋体"/>
          <w:kern w:val="0"/>
          <w:sz w:val="21"/>
          <w:szCs w:val="21"/>
          <w:lang w:bidi="ar"/>
        </w:rPr>
        <w:t>费用</w:t>
      </w:r>
      <w:r>
        <w:rPr>
          <w:rFonts w:hint="eastAsia" w:ascii="宋体" w:hAnsi="宋体" w:cs="宋体"/>
          <w:kern w:val="0"/>
          <w:sz w:val="21"/>
          <w:szCs w:val="21"/>
          <w:lang w:eastAsia="zh-CN" w:bidi="ar"/>
        </w:rPr>
        <w:t>的</w:t>
      </w:r>
      <w:r>
        <w:rPr>
          <w:rFonts w:hint="eastAsia" w:ascii="宋体" w:hAnsi="宋体" w:cs="宋体"/>
          <w:kern w:val="0"/>
          <w:sz w:val="21"/>
          <w:szCs w:val="21"/>
          <w:lang w:val="en-US" w:eastAsia="zh-CN" w:bidi="ar"/>
        </w:rPr>
        <w:t>3%；</w:t>
      </w:r>
      <w:r>
        <w:rPr>
          <w:rFonts w:hint="eastAsia" w:ascii="宋体" w:hAnsi="宋体" w:cs="宋体"/>
          <w:kern w:val="0"/>
          <w:sz w:val="21"/>
          <w:szCs w:val="21"/>
          <w:lang w:eastAsia="zh-CN" w:bidi="ar"/>
        </w:rPr>
        <w:t>单条水系水质</w:t>
      </w:r>
      <w:r>
        <w:rPr>
          <w:rFonts w:hint="eastAsia" w:ascii="宋体" w:hAnsi="宋体" w:cs="宋体"/>
          <w:kern w:val="0"/>
          <w:sz w:val="21"/>
          <w:szCs w:val="21"/>
          <w:lang w:bidi="ar"/>
        </w:rPr>
        <w:t>考核每年度达到或超过</w:t>
      </w:r>
      <w:r>
        <w:rPr>
          <w:rFonts w:hint="eastAsia" w:ascii="宋体" w:hAnsi="宋体" w:cs="宋体"/>
          <w:kern w:val="0"/>
          <w:sz w:val="21"/>
          <w:szCs w:val="21"/>
          <w:lang w:val="en-US" w:eastAsia="zh-CN" w:bidi="ar"/>
        </w:rPr>
        <w:t>4</w:t>
      </w:r>
      <w:r>
        <w:rPr>
          <w:rFonts w:hint="eastAsia" w:ascii="宋体" w:hAnsi="宋体" w:cs="宋体"/>
          <w:kern w:val="0"/>
          <w:sz w:val="21"/>
          <w:szCs w:val="21"/>
          <w:lang w:bidi="ar"/>
        </w:rPr>
        <w:t>个月考核不合格，扣除本年度</w:t>
      </w:r>
      <w:r>
        <w:rPr>
          <w:rFonts w:hint="eastAsia" w:ascii="宋体" w:hAnsi="宋体" w:cs="宋体"/>
          <w:kern w:val="0"/>
          <w:sz w:val="21"/>
          <w:szCs w:val="21"/>
          <w:lang w:val="en-US" w:eastAsia="zh-CN" w:bidi="ar"/>
        </w:rPr>
        <w:t>甲方应支付</w:t>
      </w:r>
      <w:r>
        <w:rPr>
          <w:rFonts w:hint="eastAsia" w:ascii="宋体" w:hAnsi="宋体" w:cs="宋体"/>
          <w:kern w:val="0"/>
          <w:sz w:val="21"/>
          <w:szCs w:val="21"/>
          <w:lang w:bidi="ar"/>
        </w:rPr>
        <w:t>费用</w:t>
      </w:r>
      <w:r>
        <w:rPr>
          <w:rFonts w:hint="eastAsia" w:ascii="宋体" w:hAnsi="宋体" w:cs="宋体"/>
          <w:kern w:val="0"/>
          <w:sz w:val="21"/>
          <w:szCs w:val="21"/>
          <w:lang w:val="en-US" w:eastAsia="zh-CN" w:bidi="ar"/>
        </w:rPr>
        <w:t>10%</w:t>
      </w:r>
      <w:r>
        <w:rPr>
          <w:rFonts w:hint="eastAsia" w:ascii="宋体" w:hAnsi="宋体" w:cs="宋体"/>
          <w:kern w:val="0"/>
          <w:sz w:val="21"/>
          <w:szCs w:val="21"/>
          <w:lang w:bidi="ar"/>
        </w:rPr>
        <w:t>。</w:t>
      </w:r>
    </w:p>
    <w:p>
      <w:pPr>
        <w:numPr>
          <w:ilvl w:val="0"/>
          <w:numId w:val="6"/>
        </w:numPr>
        <w:spacing w:line="360" w:lineRule="auto"/>
        <w:ind w:left="70" w:leftChars="0" w:firstLine="560" w:firstLineChars="0"/>
        <w:rPr>
          <w:rFonts w:hint="eastAsia" w:ascii="宋体" w:hAnsi="宋体" w:eastAsia="宋体" w:cs="宋体"/>
          <w:kern w:val="0"/>
          <w:sz w:val="21"/>
          <w:szCs w:val="21"/>
          <w:lang w:eastAsia="zh-CN" w:bidi="ar"/>
        </w:rPr>
      </w:pPr>
      <w:r>
        <w:rPr>
          <w:rFonts w:hint="eastAsia" w:ascii="宋体" w:hAnsi="宋体" w:cs="宋体"/>
          <w:kern w:val="0"/>
          <w:sz w:val="21"/>
          <w:szCs w:val="21"/>
          <w:lang w:eastAsia="zh-CN" w:bidi="ar"/>
        </w:rPr>
        <w:t>本项目每年度水质考核达到或超过</w:t>
      </w:r>
      <w:r>
        <w:rPr>
          <w:rFonts w:hint="eastAsia" w:ascii="宋体" w:hAnsi="宋体" w:cs="宋体"/>
          <w:kern w:val="0"/>
          <w:sz w:val="21"/>
          <w:szCs w:val="21"/>
          <w:lang w:val="en-US" w:eastAsia="zh-CN" w:bidi="ar"/>
        </w:rPr>
        <w:t>4条水系考核不合格，</w:t>
      </w:r>
      <w:r>
        <w:rPr>
          <w:rFonts w:hint="eastAsia" w:ascii="宋体" w:hAnsi="宋体" w:cs="宋体"/>
          <w:kern w:val="0"/>
          <w:sz w:val="21"/>
          <w:szCs w:val="21"/>
          <w:lang w:bidi="ar"/>
        </w:rPr>
        <w:t>扣除本年度</w:t>
      </w:r>
      <w:r>
        <w:rPr>
          <w:rFonts w:hint="eastAsia" w:ascii="宋体" w:hAnsi="宋体" w:cs="宋体"/>
          <w:kern w:val="0"/>
          <w:sz w:val="21"/>
          <w:szCs w:val="21"/>
          <w:lang w:eastAsia="zh-CN" w:bidi="ar"/>
        </w:rPr>
        <w:t>该项目</w:t>
      </w:r>
      <w:r>
        <w:rPr>
          <w:rFonts w:hint="eastAsia" w:ascii="宋体" w:hAnsi="宋体" w:cs="宋体"/>
          <w:kern w:val="0"/>
          <w:sz w:val="21"/>
          <w:szCs w:val="21"/>
          <w:lang w:val="en-US" w:eastAsia="zh-CN" w:bidi="ar"/>
        </w:rPr>
        <w:t>甲方应支付</w:t>
      </w:r>
      <w:r>
        <w:rPr>
          <w:rFonts w:hint="eastAsia" w:ascii="宋体" w:hAnsi="宋体" w:cs="宋体"/>
          <w:kern w:val="0"/>
          <w:sz w:val="21"/>
          <w:szCs w:val="21"/>
          <w:lang w:bidi="ar"/>
        </w:rPr>
        <w:t>费用</w:t>
      </w:r>
      <w:r>
        <w:rPr>
          <w:rFonts w:hint="eastAsia" w:ascii="宋体" w:hAnsi="宋体" w:cs="宋体"/>
          <w:kern w:val="0"/>
          <w:sz w:val="21"/>
          <w:szCs w:val="21"/>
          <w:lang w:eastAsia="zh-CN" w:bidi="ar"/>
        </w:rPr>
        <w:t>的</w:t>
      </w:r>
      <w:r>
        <w:rPr>
          <w:rFonts w:hint="eastAsia" w:ascii="宋体" w:hAnsi="宋体" w:cs="宋体"/>
          <w:kern w:val="0"/>
          <w:sz w:val="21"/>
          <w:szCs w:val="21"/>
          <w:lang w:val="en-US" w:eastAsia="zh-CN" w:bidi="ar"/>
        </w:rPr>
        <w:t>15%；</w:t>
      </w:r>
      <w:r>
        <w:rPr>
          <w:rFonts w:hint="eastAsia" w:ascii="宋体" w:hAnsi="宋体" w:cs="宋体"/>
          <w:kern w:val="0"/>
          <w:sz w:val="21"/>
          <w:szCs w:val="21"/>
          <w:lang w:eastAsia="zh-CN" w:bidi="ar"/>
        </w:rPr>
        <w:t>本项目每年度水质考核</w:t>
      </w:r>
      <w:r>
        <w:rPr>
          <w:rFonts w:hint="eastAsia" w:ascii="宋体" w:hAnsi="宋体" w:cs="宋体"/>
          <w:kern w:val="0"/>
          <w:sz w:val="21"/>
          <w:szCs w:val="21"/>
          <w:lang w:val="en-US" w:eastAsia="zh-CN" w:bidi="ar"/>
        </w:rPr>
        <w:t>累计达到20次/月/条水系考核不合格，</w:t>
      </w:r>
      <w:r>
        <w:rPr>
          <w:rFonts w:hint="eastAsia" w:ascii="宋体" w:hAnsi="宋体" w:cs="宋体"/>
          <w:kern w:val="0"/>
          <w:sz w:val="21"/>
          <w:szCs w:val="21"/>
          <w:lang w:bidi="ar"/>
        </w:rPr>
        <w:t>扣除本年度</w:t>
      </w:r>
      <w:r>
        <w:rPr>
          <w:rFonts w:hint="eastAsia" w:ascii="宋体" w:hAnsi="宋体" w:cs="宋体"/>
          <w:kern w:val="0"/>
          <w:sz w:val="21"/>
          <w:szCs w:val="21"/>
          <w:lang w:eastAsia="zh-CN" w:bidi="ar"/>
        </w:rPr>
        <w:t>该项目</w:t>
      </w:r>
      <w:r>
        <w:rPr>
          <w:rFonts w:hint="eastAsia" w:ascii="宋体" w:hAnsi="宋体" w:cs="宋体"/>
          <w:kern w:val="0"/>
          <w:sz w:val="21"/>
          <w:szCs w:val="21"/>
          <w:lang w:val="en-US" w:eastAsia="zh-CN" w:bidi="ar"/>
        </w:rPr>
        <w:t>甲方应支付</w:t>
      </w:r>
      <w:r>
        <w:rPr>
          <w:rFonts w:hint="eastAsia" w:ascii="宋体" w:hAnsi="宋体" w:cs="宋体"/>
          <w:kern w:val="0"/>
          <w:sz w:val="21"/>
          <w:szCs w:val="21"/>
          <w:lang w:bidi="ar"/>
        </w:rPr>
        <w:t>费用</w:t>
      </w:r>
      <w:r>
        <w:rPr>
          <w:rFonts w:hint="eastAsia" w:ascii="宋体" w:hAnsi="宋体" w:cs="宋体"/>
          <w:kern w:val="0"/>
          <w:sz w:val="21"/>
          <w:szCs w:val="21"/>
          <w:lang w:eastAsia="zh-CN" w:bidi="ar"/>
        </w:rPr>
        <w:t>的</w:t>
      </w:r>
      <w:r>
        <w:rPr>
          <w:rFonts w:hint="eastAsia" w:ascii="宋体" w:hAnsi="宋体" w:cs="宋体"/>
          <w:kern w:val="0"/>
          <w:sz w:val="21"/>
          <w:szCs w:val="21"/>
          <w:lang w:val="en-US" w:eastAsia="zh-CN" w:bidi="ar"/>
        </w:rPr>
        <w:t>50%。</w:t>
      </w:r>
      <w:r>
        <w:rPr>
          <w:rFonts w:hint="eastAsia" w:ascii="宋体" w:hAnsi="宋体" w:cs="宋体"/>
          <w:kern w:val="0"/>
          <w:sz w:val="21"/>
          <w:szCs w:val="21"/>
          <w:lang w:eastAsia="zh-CN" w:bidi="ar"/>
        </w:rPr>
        <w:t>本项目每年度水质考核</w:t>
      </w:r>
      <w:r>
        <w:rPr>
          <w:rFonts w:hint="eastAsia" w:ascii="宋体" w:hAnsi="宋体" w:cs="宋体"/>
          <w:kern w:val="0"/>
          <w:sz w:val="21"/>
          <w:szCs w:val="21"/>
          <w:lang w:val="en-US" w:eastAsia="zh-CN" w:bidi="ar"/>
        </w:rPr>
        <w:t>累计达到40次/月/条水系考核不合格，</w:t>
      </w:r>
      <w:r>
        <w:rPr>
          <w:rFonts w:hint="eastAsia" w:ascii="宋体" w:hAnsi="宋体" w:cs="宋体"/>
          <w:kern w:val="0"/>
          <w:sz w:val="21"/>
          <w:szCs w:val="21"/>
          <w:lang w:bidi="ar"/>
        </w:rPr>
        <w:t>扣除本年度</w:t>
      </w:r>
      <w:r>
        <w:rPr>
          <w:rFonts w:hint="eastAsia" w:ascii="宋体" w:hAnsi="宋体" w:cs="宋体"/>
          <w:kern w:val="0"/>
          <w:sz w:val="21"/>
          <w:szCs w:val="21"/>
          <w:lang w:eastAsia="zh-CN" w:bidi="ar"/>
        </w:rPr>
        <w:t>该项目</w:t>
      </w:r>
      <w:r>
        <w:rPr>
          <w:rFonts w:hint="eastAsia" w:ascii="宋体" w:hAnsi="宋体" w:cs="宋体"/>
          <w:kern w:val="0"/>
          <w:sz w:val="21"/>
          <w:szCs w:val="21"/>
          <w:lang w:val="en-US" w:eastAsia="zh-CN" w:bidi="ar"/>
        </w:rPr>
        <w:t>甲方应支付</w:t>
      </w:r>
      <w:r>
        <w:rPr>
          <w:rFonts w:hint="eastAsia" w:ascii="宋体" w:hAnsi="宋体" w:cs="宋体"/>
          <w:kern w:val="0"/>
          <w:sz w:val="21"/>
          <w:szCs w:val="21"/>
          <w:lang w:bidi="ar"/>
        </w:rPr>
        <w:t>费用</w:t>
      </w:r>
      <w:r>
        <w:rPr>
          <w:rFonts w:hint="eastAsia" w:ascii="宋体" w:hAnsi="宋体" w:cs="宋体"/>
          <w:kern w:val="0"/>
          <w:sz w:val="21"/>
          <w:szCs w:val="21"/>
          <w:lang w:eastAsia="zh-CN" w:bidi="ar"/>
        </w:rPr>
        <w:t>的</w:t>
      </w:r>
      <w:r>
        <w:rPr>
          <w:rFonts w:hint="eastAsia" w:ascii="宋体" w:hAnsi="宋体" w:cs="宋体"/>
          <w:kern w:val="0"/>
          <w:sz w:val="21"/>
          <w:szCs w:val="21"/>
          <w:lang w:val="en-US" w:eastAsia="zh-CN" w:bidi="ar"/>
        </w:rPr>
        <w:t>100%。</w:t>
      </w:r>
      <w:r>
        <w:rPr>
          <w:rFonts w:hint="eastAsia" w:ascii="宋体" w:hAnsi="宋体" w:cs="宋体"/>
          <w:kern w:val="0"/>
          <w:sz w:val="21"/>
          <w:szCs w:val="21"/>
          <w:lang w:eastAsia="zh-CN" w:bidi="ar"/>
        </w:rPr>
        <w:t>本项目每年度水质考核</w:t>
      </w:r>
      <w:r>
        <w:rPr>
          <w:rFonts w:hint="eastAsia" w:ascii="宋体" w:hAnsi="宋体" w:cs="宋体"/>
          <w:kern w:val="0"/>
          <w:sz w:val="21"/>
          <w:szCs w:val="21"/>
          <w:lang w:val="en-US" w:eastAsia="zh-CN" w:bidi="ar"/>
        </w:rPr>
        <w:t>累计达到60次/月/条水系考核不合格，除</w:t>
      </w:r>
      <w:r>
        <w:rPr>
          <w:rFonts w:hint="eastAsia" w:ascii="宋体" w:hAnsi="宋体" w:cs="宋体"/>
          <w:kern w:val="0"/>
          <w:sz w:val="21"/>
          <w:szCs w:val="21"/>
          <w:lang w:bidi="ar"/>
        </w:rPr>
        <w:t>扣除本年度</w:t>
      </w:r>
      <w:r>
        <w:rPr>
          <w:rFonts w:hint="eastAsia" w:ascii="宋体" w:hAnsi="宋体" w:cs="宋体"/>
          <w:kern w:val="0"/>
          <w:sz w:val="21"/>
          <w:szCs w:val="21"/>
          <w:lang w:eastAsia="zh-CN" w:bidi="ar"/>
        </w:rPr>
        <w:t>该项目</w:t>
      </w:r>
      <w:r>
        <w:rPr>
          <w:rFonts w:hint="eastAsia" w:ascii="宋体" w:hAnsi="宋体" w:cs="宋体"/>
          <w:kern w:val="0"/>
          <w:sz w:val="21"/>
          <w:szCs w:val="21"/>
          <w:lang w:val="en-US" w:eastAsia="zh-CN" w:bidi="ar"/>
        </w:rPr>
        <w:t>甲方应支付</w:t>
      </w:r>
      <w:r>
        <w:rPr>
          <w:rFonts w:hint="eastAsia" w:ascii="宋体" w:hAnsi="宋体" w:cs="宋体"/>
          <w:kern w:val="0"/>
          <w:sz w:val="21"/>
          <w:szCs w:val="21"/>
          <w:lang w:bidi="ar"/>
        </w:rPr>
        <w:t>费用</w:t>
      </w:r>
      <w:r>
        <w:rPr>
          <w:rFonts w:hint="eastAsia" w:ascii="宋体" w:hAnsi="宋体" w:cs="宋体"/>
          <w:kern w:val="0"/>
          <w:sz w:val="21"/>
          <w:szCs w:val="21"/>
          <w:lang w:eastAsia="zh-CN" w:bidi="ar"/>
        </w:rPr>
        <w:t>的</w:t>
      </w:r>
      <w:r>
        <w:rPr>
          <w:rFonts w:hint="eastAsia" w:ascii="宋体" w:hAnsi="宋体" w:cs="宋体"/>
          <w:kern w:val="0"/>
          <w:sz w:val="21"/>
          <w:szCs w:val="21"/>
          <w:lang w:val="en-US" w:eastAsia="zh-CN" w:bidi="ar"/>
        </w:rPr>
        <w:t>100%外，甲方可直接终止合同，不再支付全部剩余治理维护项目工程款。</w:t>
      </w:r>
    </w:p>
    <w:p>
      <w:pPr>
        <w:keepNext w:val="0"/>
        <w:keepLines w:val="0"/>
        <w:pageBreakBefore w:val="0"/>
        <w:widowControl/>
        <w:suppressLineNumbers w:val="0"/>
        <w:kinsoku/>
        <w:wordWrap/>
        <w:overflowPunct/>
        <w:topLinePunct w:val="0"/>
        <w:autoSpaceDE/>
        <w:autoSpaceDN/>
        <w:bidi w:val="0"/>
        <w:adjustRightInd/>
        <w:snapToGrid/>
        <w:ind w:left="0" w:leftChars="0" w:firstLine="638" w:firstLineChars="304"/>
        <w:jc w:val="left"/>
        <w:textAlignment w:val="auto"/>
        <w:rPr>
          <w:rFonts w:hint="default" w:ascii="仿宋" w:hAnsi="仿宋" w:eastAsia="仿宋" w:cs="仿宋"/>
          <w:color w:val="000000"/>
          <w:kern w:val="0"/>
          <w:sz w:val="21"/>
          <w:szCs w:val="21"/>
          <w:lang w:val="en-US" w:eastAsia="zh-CN" w:bidi="ar"/>
        </w:rPr>
      </w:pPr>
      <w:r>
        <w:rPr>
          <w:rFonts w:hint="eastAsia" w:ascii="宋体" w:hAnsi="宋体" w:cs="宋体"/>
          <w:kern w:val="0"/>
          <w:sz w:val="21"/>
          <w:szCs w:val="21"/>
          <w:lang w:val="en-US" w:eastAsia="zh-CN" w:bidi="ar"/>
        </w:rPr>
        <w:t>（4）</w:t>
      </w:r>
      <w:r>
        <w:rPr>
          <w:rFonts w:hint="eastAsia" w:ascii="宋体" w:hAnsi="宋体" w:eastAsia="宋体" w:cs="宋体"/>
          <w:kern w:val="0"/>
          <w:sz w:val="21"/>
          <w:szCs w:val="21"/>
          <w:lang w:val="en-US" w:eastAsia="zh-CN" w:bidi="ar"/>
        </w:rPr>
        <w:t>运营维护其被省级及以上主管部门通报水系水质不合格的，每次扣除年度维护费2%。</w:t>
      </w:r>
    </w:p>
    <w:p>
      <w:pPr>
        <w:pStyle w:val="2"/>
        <w:rPr>
          <w:rFonts w:hint="default"/>
          <w:lang w:val="en-US" w:eastAsia="zh-CN"/>
        </w:rPr>
      </w:pPr>
    </w:p>
    <w:p>
      <w:pPr>
        <w:pStyle w:val="7"/>
        <w:snapToGrid w:val="0"/>
        <w:spacing w:line="360" w:lineRule="auto"/>
        <w:ind w:left="118" w:leftChars="56" w:right="292" w:firstLine="420" w:firstLineChars="200"/>
        <w:rPr>
          <w:rFonts w:ascii="宋体" w:hAnsi="宋体"/>
          <w:bCs/>
          <w:sz w:val="21"/>
          <w:szCs w:val="21"/>
        </w:rPr>
      </w:pPr>
      <w:r>
        <w:rPr>
          <w:rFonts w:ascii="宋体" w:hAnsi="宋体"/>
          <w:bCs/>
          <w:sz w:val="21"/>
          <w:szCs w:val="21"/>
        </w:rPr>
        <w:t>2</w:t>
      </w:r>
      <w:r>
        <w:rPr>
          <w:rFonts w:hint="eastAsia" w:ascii="宋体" w:hAnsi="宋体"/>
          <w:bCs/>
          <w:sz w:val="21"/>
          <w:szCs w:val="21"/>
        </w:rPr>
        <w:t>、生态监测考核：</w:t>
      </w:r>
    </w:p>
    <w:p>
      <w:pPr>
        <w:pStyle w:val="7"/>
        <w:snapToGrid w:val="0"/>
        <w:spacing w:after="0" w:line="360" w:lineRule="auto"/>
        <w:ind w:firstLine="422" w:firstLineChars="200"/>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cs="Times New Roman"/>
          <w:b/>
          <w:bCs w:val="0"/>
          <w:sz w:val="21"/>
          <w:szCs w:val="21"/>
          <w:lang w:val="en-US" w:eastAsia="zh-CN"/>
        </w:rPr>
        <w:t>施工完成后验收：</w:t>
      </w:r>
      <w:r>
        <w:rPr>
          <w:rFonts w:hint="default" w:ascii="Times New Roman" w:hAnsi="Times New Roman" w:cs="Times New Roman"/>
          <w:bCs/>
          <w:sz w:val="21"/>
          <w:szCs w:val="21"/>
          <w:lang w:val="en-US" w:eastAsia="zh-CN"/>
        </w:rPr>
        <w:t>调查水体中</w:t>
      </w:r>
      <w:r>
        <w:rPr>
          <w:rFonts w:hint="default" w:ascii="Times New Roman" w:hAnsi="Times New Roman" w:eastAsia="宋体" w:cs="Times New Roman"/>
          <w:b w:val="0"/>
          <w:bCs/>
          <w:sz w:val="21"/>
          <w:szCs w:val="21"/>
          <w:lang w:val="en-US" w:eastAsia="zh-CN"/>
        </w:rPr>
        <w:t>有方形环棱螺、梨</w:t>
      </w:r>
      <w:r>
        <w:rPr>
          <w:rFonts w:hint="default" w:ascii="Times New Roman" w:hAnsi="Times New Roman" w:eastAsia="宋体" w:cs="Times New Roman"/>
          <w:b w:val="0"/>
          <w:bCs w:val="0"/>
          <w:sz w:val="21"/>
          <w:szCs w:val="21"/>
          <w:lang w:val="en-US" w:eastAsia="zh-CN"/>
        </w:rPr>
        <w:t>形环棱螺、田螺等为主的螺类3种以上，有褶纹冠蚌、背角无齿蚌、蚶形无齿蚌、圆顶珠蚌、短褶矛蚌、真柱状矛蚌、射线裂脊蚌、洞穴丽蚌、河蚬等为主的蚌类9种以上，且生长存活状况良好、密度合理。水生植物包含挺水植物、沉水植物、浮叶植物，且整体绿化率达30-40%。</w:t>
      </w:r>
      <w:r>
        <w:rPr>
          <w:rFonts w:hint="eastAsia" w:ascii="Times New Roman" w:hAnsi="Times New Roman" w:eastAsia="宋体" w:cs="Times New Roman"/>
          <w:b w:val="0"/>
          <w:bCs w:val="0"/>
          <w:sz w:val="21"/>
          <w:szCs w:val="21"/>
          <w:lang w:val="en-US" w:eastAsia="zh-CN"/>
        </w:rPr>
        <w:t>水系考核达标比率超过90%方可具备验收条件。</w:t>
      </w:r>
    </w:p>
    <w:p>
      <w:pPr>
        <w:pStyle w:val="7"/>
        <w:keepNext w:val="0"/>
        <w:keepLines w:val="0"/>
        <w:pageBreakBefore w:val="0"/>
        <w:widowControl w:val="0"/>
        <w:kinsoku/>
        <w:wordWrap/>
        <w:overflowPunct/>
        <w:topLinePunct w:val="0"/>
        <w:autoSpaceDE/>
        <w:autoSpaceDN/>
        <w:bidi w:val="0"/>
        <w:adjustRightInd/>
        <w:snapToGrid w:val="0"/>
        <w:spacing w:after="0" w:line="360" w:lineRule="auto"/>
        <w:ind w:left="0" w:leftChars="0" w:right="0" w:firstLine="422" w:firstLineChars="200"/>
        <w:textAlignment w:val="auto"/>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cs="Times New Roman"/>
          <w:b/>
          <w:bCs w:val="0"/>
          <w:sz w:val="21"/>
          <w:szCs w:val="21"/>
          <w:lang w:val="en-US" w:eastAsia="zh-CN"/>
        </w:rPr>
        <w:t>运营维护</w:t>
      </w:r>
      <w:r>
        <w:rPr>
          <w:rFonts w:hint="default" w:ascii="Times New Roman" w:hAnsi="Times New Roman" w:eastAsia="宋体" w:cs="Times New Roman"/>
          <w:b/>
          <w:bCs w:val="0"/>
          <w:sz w:val="21"/>
          <w:szCs w:val="21"/>
          <w:lang w:val="en-US" w:eastAsia="zh-CN"/>
        </w:rPr>
        <w:t>期考核：</w:t>
      </w:r>
      <w:r>
        <w:rPr>
          <w:rFonts w:hint="default" w:ascii="Times New Roman" w:hAnsi="Times New Roman" w:cs="Times New Roman"/>
          <w:bCs/>
          <w:sz w:val="21"/>
          <w:szCs w:val="21"/>
        </w:rPr>
        <w:t>项目进行季度考核，</w:t>
      </w:r>
      <w:r>
        <w:rPr>
          <w:rFonts w:hint="default" w:ascii="Times New Roman" w:hAnsi="Times New Roman" w:cs="Times New Roman"/>
          <w:bCs/>
          <w:sz w:val="21"/>
          <w:szCs w:val="21"/>
          <w:lang w:val="en-US" w:eastAsia="zh-CN"/>
        </w:rPr>
        <w:t>季度考核水体中</w:t>
      </w:r>
      <w:r>
        <w:rPr>
          <w:rFonts w:hint="default" w:ascii="Times New Roman" w:hAnsi="Times New Roman" w:eastAsia="宋体" w:cs="Times New Roman"/>
          <w:b w:val="0"/>
          <w:bCs/>
          <w:sz w:val="21"/>
          <w:szCs w:val="21"/>
          <w:lang w:val="en-US" w:eastAsia="zh-CN"/>
        </w:rPr>
        <w:t>有方形环棱螺、梨</w:t>
      </w:r>
      <w:r>
        <w:rPr>
          <w:rFonts w:hint="default" w:ascii="Times New Roman" w:hAnsi="Times New Roman" w:eastAsia="宋体" w:cs="Times New Roman"/>
          <w:b w:val="0"/>
          <w:bCs w:val="0"/>
          <w:sz w:val="21"/>
          <w:szCs w:val="21"/>
          <w:lang w:val="en-US" w:eastAsia="zh-CN"/>
        </w:rPr>
        <w:t>形环棱螺、田螺等为主的螺类3种以上，有褶纹冠蚌、背角无齿蚌、蚶形无齿蚌、圆顶珠蚌、短褶矛蚌、真柱状矛蚌、射线裂脊蚌、洞穴丽蚌、河蚬等为主的蚌类9种以上，且生长存活状况良好、密度合理。水生植物包含挺水植物、沉水植物、浮叶植物，且整体绿化率在春夏两季达30-40%。</w:t>
      </w:r>
      <w:r>
        <w:rPr>
          <w:rFonts w:hint="eastAsia" w:ascii="Times New Roman" w:hAnsi="Times New Roman" w:eastAsia="宋体" w:cs="Times New Roman"/>
          <w:b w:val="0"/>
          <w:bCs w:val="0"/>
          <w:sz w:val="21"/>
          <w:szCs w:val="21"/>
          <w:lang w:val="en-US" w:eastAsia="zh-CN"/>
        </w:rPr>
        <w:t>运营维护其内考核水系按照未达标水系条数按比率扣付年度维护款。</w:t>
      </w:r>
    </w:p>
    <w:p>
      <w:pPr>
        <w:pStyle w:val="7"/>
        <w:snapToGrid w:val="0"/>
        <w:spacing w:after="0" w:line="360" w:lineRule="auto"/>
        <w:ind w:firstLine="420" w:firstLineChars="200"/>
        <w:rPr>
          <w:rFonts w:hint="default" w:ascii="Times New Roman" w:hAnsi="Times New Roman" w:cs="Times New Roman"/>
          <w:sz w:val="21"/>
          <w:szCs w:val="21"/>
        </w:rPr>
      </w:pPr>
      <w:r>
        <w:rPr>
          <w:rFonts w:hint="eastAsia" w:ascii="Times New Roman" w:hAnsi="Times New Roman" w:cs="Times New Roman"/>
          <w:bCs/>
          <w:sz w:val="21"/>
          <w:szCs w:val="21"/>
          <w:lang w:val="en-US" w:eastAsia="zh-CN"/>
        </w:rPr>
        <w:t>3、</w:t>
      </w:r>
      <w:r>
        <w:rPr>
          <w:rFonts w:hint="default" w:ascii="Times New Roman" w:hAnsi="Times New Roman" w:cs="Times New Roman"/>
          <w:bCs/>
          <w:sz w:val="21"/>
          <w:szCs w:val="21"/>
          <w:lang w:eastAsia="zh-CN"/>
        </w:rPr>
        <w:t>自进入正式运营维护期后</w:t>
      </w:r>
      <w:r>
        <w:rPr>
          <w:rFonts w:hint="default" w:ascii="Times New Roman" w:hAnsi="Times New Roman" w:cs="Times New Roman"/>
          <w:bCs/>
          <w:sz w:val="21"/>
          <w:szCs w:val="21"/>
          <w:lang w:val="en-US" w:eastAsia="zh-CN"/>
        </w:rPr>
        <w:t>开始</w:t>
      </w:r>
      <w:r>
        <w:rPr>
          <w:rFonts w:hint="default" w:ascii="Times New Roman" w:hAnsi="Times New Roman" w:cs="Times New Roman"/>
          <w:bCs/>
          <w:sz w:val="21"/>
          <w:szCs w:val="21"/>
          <w:lang w:eastAsia="zh-CN"/>
        </w:rPr>
        <w:t>考核</w:t>
      </w:r>
      <w:r>
        <w:rPr>
          <w:rFonts w:hint="default" w:ascii="Times New Roman" w:hAnsi="Times New Roman" w:cs="Times New Roman"/>
          <w:bCs/>
          <w:sz w:val="21"/>
          <w:szCs w:val="21"/>
          <w:lang w:val="en-US" w:eastAsia="zh-CN"/>
        </w:rPr>
        <w:t>，由乙方提供具备调查能力的高校或科研院所出具的水生态调查报告为依据，甲方有权委托第三方生态调查机构进行复核。</w:t>
      </w:r>
    </w:p>
    <w:p>
      <w:pPr>
        <w:pStyle w:val="8"/>
        <w:spacing w:line="360" w:lineRule="auto"/>
        <w:ind w:firstLine="480"/>
        <w:rPr>
          <w:sz w:val="21"/>
          <w:szCs w:val="21"/>
        </w:rPr>
      </w:pPr>
      <w:r>
        <w:rPr>
          <w:rFonts w:hint="eastAsia" w:ascii="宋体" w:hAnsi="宋体"/>
          <w:bCs/>
          <w:sz w:val="21"/>
          <w:szCs w:val="21"/>
          <w:lang w:val="en-US" w:eastAsia="zh-CN"/>
        </w:rPr>
        <w:t>4、由甲方负责对</w:t>
      </w:r>
      <w:r>
        <w:rPr>
          <w:rFonts w:hint="eastAsia" w:ascii="宋体" w:hAnsi="宋体"/>
          <w:bCs/>
          <w:sz w:val="21"/>
          <w:szCs w:val="21"/>
          <w:lang w:eastAsia="zh-CN"/>
        </w:rPr>
        <w:t>运营维护期</w:t>
      </w:r>
      <w:r>
        <w:rPr>
          <w:rFonts w:hint="eastAsia" w:ascii="宋体" w:hAnsi="宋体"/>
          <w:bCs/>
          <w:sz w:val="21"/>
          <w:szCs w:val="21"/>
          <w:lang w:val="en-US" w:eastAsia="zh-CN"/>
        </w:rPr>
        <w:t>工作进行考核，每月考核一次，年度累计计算，得分在90分及以上的，不扣费；得分在 60分-90 分间（含 60 分）的，支付</w:t>
      </w:r>
      <w:r>
        <w:rPr>
          <w:rFonts w:hint="eastAsia" w:ascii="宋体" w:hAnsi="宋体"/>
          <w:bCs/>
          <w:sz w:val="21"/>
          <w:szCs w:val="21"/>
          <w:lang w:eastAsia="zh-CN"/>
        </w:rPr>
        <w:t>维护期费用</w:t>
      </w:r>
      <w:r>
        <w:rPr>
          <w:rFonts w:hint="eastAsia" w:ascii="宋体" w:hAnsi="宋体"/>
          <w:bCs/>
          <w:sz w:val="21"/>
          <w:szCs w:val="21"/>
          <w:lang w:val="en-US" w:eastAsia="zh-CN"/>
        </w:rPr>
        <w:t>的70%；得分在 60 分以下的，不予支付。具体考核标准详见附件。</w:t>
      </w:r>
    </w:p>
    <w:p>
      <w:pPr>
        <w:pStyle w:val="3"/>
        <w:spacing w:before="132"/>
        <w:jc w:val="center"/>
        <w:rPr>
          <w:rFonts w:hint="eastAsia" w:ascii="宋体" w:hAnsi="宋体" w:eastAsia="宋体" w:cs="宋体"/>
          <w:sz w:val="28"/>
          <w:szCs w:val="28"/>
        </w:rPr>
      </w:pPr>
      <w:r>
        <w:rPr>
          <w:rFonts w:hint="eastAsia"/>
          <w:sz w:val="40"/>
          <w:szCs w:val="40"/>
          <w:lang w:eastAsia="zh-CN"/>
        </w:rPr>
        <w:br w:type="page"/>
      </w:r>
      <w:r>
        <w:rPr>
          <w:rFonts w:hint="eastAsia" w:ascii="宋体" w:hAnsi="宋体" w:eastAsia="宋体" w:cs="宋体"/>
          <w:sz w:val="28"/>
          <w:szCs w:val="28"/>
          <w:lang w:eastAsia="zh-CN"/>
        </w:rPr>
        <w:t>三山经济开发</w:t>
      </w:r>
      <w:r>
        <w:rPr>
          <w:rFonts w:hint="eastAsia" w:ascii="宋体" w:hAnsi="宋体" w:eastAsia="宋体" w:cs="宋体"/>
          <w:sz w:val="28"/>
          <w:szCs w:val="28"/>
        </w:rPr>
        <w:t>区</w:t>
      </w:r>
      <w:r>
        <w:rPr>
          <w:rFonts w:hint="eastAsia" w:ascii="宋体" w:hAnsi="宋体" w:eastAsia="宋体" w:cs="宋体"/>
          <w:sz w:val="28"/>
          <w:szCs w:val="28"/>
          <w:lang w:eastAsia="zh-CN"/>
        </w:rPr>
        <w:t>建成区内单条水系</w:t>
      </w:r>
      <w:r>
        <w:rPr>
          <w:rFonts w:hint="eastAsia" w:ascii="宋体" w:hAnsi="宋体" w:eastAsia="宋体" w:cs="宋体"/>
          <w:sz w:val="28"/>
          <w:szCs w:val="28"/>
        </w:rPr>
        <w:t>日常养护</w:t>
      </w:r>
      <w:r>
        <w:rPr>
          <w:rFonts w:hint="eastAsia" w:ascii="宋体" w:hAnsi="宋体" w:eastAsia="宋体" w:cs="宋体"/>
          <w:sz w:val="28"/>
          <w:szCs w:val="28"/>
          <w:lang w:eastAsia="zh-CN"/>
        </w:rPr>
        <w:t>月度</w:t>
      </w:r>
      <w:r>
        <w:rPr>
          <w:rFonts w:hint="eastAsia" w:ascii="宋体" w:hAnsi="宋体" w:eastAsia="宋体" w:cs="宋体"/>
          <w:sz w:val="28"/>
          <w:szCs w:val="28"/>
        </w:rPr>
        <w:t>考核评分表</w:t>
      </w:r>
    </w:p>
    <w:p>
      <w:pPr>
        <w:tabs>
          <w:tab w:val="left" w:pos="2890"/>
          <w:tab w:val="left" w:pos="6250"/>
        </w:tabs>
        <w:spacing w:before="1"/>
        <w:ind w:left="231" w:right="0" w:firstLine="240" w:firstLineChars="100"/>
        <w:jc w:val="left"/>
        <w:rPr>
          <w:rFonts w:hint="eastAsia" w:ascii="仿宋" w:hAnsi="仿宋" w:eastAsia="仿宋" w:cs="仿宋"/>
          <w:sz w:val="24"/>
          <w:szCs w:val="24"/>
        </w:rPr>
      </w:pPr>
      <w:r>
        <w:rPr>
          <w:rFonts w:hint="eastAsia" w:ascii="仿宋" w:hAnsi="仿宋" w:eastAsia="仿宋" w:cs="仿宋"/>
          <w:sz w:val="24"/>
          <w:szCs w:val="24"/>
        </w:rPr>
        <w:t>水</w:t>
      </w:r>
      <w:r>
        <w:rPr>
          <w:rFonts w:hint="eastAsia" w:ascii="仿宋" w:hAnsi="仿宋" w:eastAsia="仿宋" w:cs="仿宋"/>
          <w:spacing w:val="-3"/>
          <w:sz w:val="24"/>
          <w:szCs w:val="24"/>
        </w:rPr>
        <w:t>系</w:t>
      </w:r>
      <w:r>
        <w:rPr>
          <w:rFonts w:hint="eastAsia" w:ascii="仿宋" w:hAnsi="仿宋" w:eastAsia="仿宋" w:cs="仿宋"/>
          <w:sz w:val="24"/>
          <w:szCs w:val="24"/>
        </w:rPr>
        <w:t>名称：</w:t>
      </w:r>
      <w:r>
        <w:rPr>
          <w:rFonts w:hint="eastAsia" w:ascii="仿宋" w:hAnsi="仿宋" w:eastAsia="仿宋" w:cs="仿宋"/>
          <w:sz w:val="24"/>
          <w:szCs w:val="24"/>
        </w:rPr>
        <w:tab/>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考</w:t>
      </w:r>
      <w:r>
        <w:rPr>
          <w:rFonts w:hint="eastAsia" w:ascii="仿宋" w:hAnsi="仿宋" w:eastAsia="仿宋" w:cs="仿宋"/>
          <w:spacing w:val="-3"/>
          <w:sz w:val="24"/>
          <w:szCs w:val="24"/>
        </w:rPr>
        <w:t>核</w:t>
      </w:r>
      <w:r>
        <w:rPr>
          <w:rFonts w:hint="eastAsia" w:ascii="仿宋" w:hAnsi="仿宋" w:eastAsia="仿宋" w:cs="仿宋"/>
          <w:sz w:val="24"/>
          <w:szCs w:val="24"/>
        </w:rPr>
        <w:t>时间：</w:t>
      </w:r>
    </w:p>
    <w:tbl>
      <w:tblPr>
        <w:tblStyle w:val="9"/>
        <w:tblpPr w:leftFromText="180" w:rightFromText="180" w:vertAnchor="text" w:horzAnchor="page" w:tblpX="1642" w:tblpY="51"/>
        <w:tblOverlap w:val="never"/>
        <w:tblW w:w="87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8"/>
        <w:gridCol w:w="781"/>
        <w:gridCol w:w="6257"/>
        <w:gridCol w:w="7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918" w:type="dxa"/>
            <w:noWrap w:val="0"/>
            <w:vAlign w:val="center"/>
          </w:tcPr>
          <w:p>
            <w:pPr>
              <w:pStyle w:val="13"/>
              <w:ind w:left="189" w:right="183"/>
              <w:jc w:val="center"/>
              <w:rPr>
                <w:sz w:val="24"/>
                <w:szCs w:val="24"/>
              </w:rPr>
            </w:pPr>
            <w:r>
              <w:rPr>
                <w:sz w:val="24"/>
                <w:szCs w:val="24"/>
              </w:rPr>
              <w:t>指标</w:t>
            </w:r>
          </w:p>
        </w:tc>
        <w:tc>
          <w:tcPr>
            <w:tcW w:w="781" w:type="dxa"/>
            <w:noWrap w:val="0"/>
            <w:vAlign w:val="center"/>
          </w:tcPr>
          <w:p>
            <w:pPr>
              <w:pStyle w:val="13"/>
              <w:ind w:left="137" w:right="130"/>
              <w:jc w:val="center"/>
              <w:rPr>
                <w:sz w:val="24"/>
                <w:szCs w:val="24"/>
              </w:rPr>
            </w:pPr>
            <w:r>
              <w:rPr>
                <w:sz w:val="24"/>
                <w:szCs w:val="24"/>
              </w:rPr>
              <w:t>分值</w:t>
            </w:r>
          </w:p>
        </w:tc>
        <w:tc>
          <w:tcPr>
            <w:tcW w:w="6257" w:type="dxa"/>
            <w:noWrap w:val="0"/>
            <w:vAlign w:val="center"/>
          </w:tcPr>
          <w:p>
            <w:pPr>
              <w:pStyle w:val="13"/>
              <w:ind w:right="2683"/>
              <w:jc w:val="right"/>
              <w:rPr>
                <w:sz w:val="24"/>
                <w:szCs w:val="24"/>
              </w:rPr>
            </w:pPr>
            <w:r>
              <w:rPr>
                <w:sz w:val="24"/>
                <w:szCs w:val="24"/>
              </w:rPr>
              <w:t>考核要求</w:t>
            </w:r>
          </w:p>
        </w:tc>
        <w:tc>
          <w:tcPr>
            <w:tcW w:w="761" w:type="dxa"/>
            <w:noWrap w:val="0"/>
            <w:vAlign w:val="center"/>
          </w:tcPr>
          <w:p>
            <w:pPr>
              <w:pStyle w:val="13"/>
              <w:ind w:left="163"/>
              <w:jc w:val="center"/>
              <w:rPr>
                <w:sz w:val="24"/>
                <w:szCs w:val="24"/>
              </w:rPr>
            </w:pPr>
            <w:r>
              <w:rPr>
                <w:sz w:val="24"/>
                <w:szCs w:val="24"/>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0" w:hRule="atLeast"/>
        </w:trPr>
        <w:tc>
          <w:tcPr>
            <w:tcW w:w="918" w:type="dxa"/>
            <w:noWrap w:val="0"/>
            <w:vAlign w:val="center"/>
          </w:tcPr>
          <w:p>
            <w:pPr>
              <w:pStyle w:val="13"/>
              <w:spacing w:before="1"/>
              <w:ind w:right="183"/>
              <w:jc w:val="center"/>
              <w:rPr>
                <w:sz w:val="24"/>
                <w:szCs w:val="24"/>
              </w:rPr>
            </w:pPr>
            <w:r>
              <w:rPr>
                <w:sz w:val="24"/>
                <w:szCs w:val="24"/>
              </w:rPr>
              <w:t>水质指标</w:t>
            </w:r>
          </w:p>
        </w:tc>
        <w:tc>
          <w:tcPr>
            <w:tcW w:w="781" w:type="dxa"/>
            <w:noWrap w:val="0"/>
            <w:vAlign w:val="center"/>
          </w:tcPr>
          <w:p>
            <w:pPr>
              <w:pStyle w:val="13"/>
              <w:spacing w:before="1"/>
              <w:ind w:right="129"/>
              <w:jc w:val="center"/>
              <w:rPr>
                <w:sz w:val="24"/>
                <w:szCs w:val="24"/>
              </w:rPr>
            </w:pPr>
            <w:r>
              <w:rPr>
                <w:sz w:val="24"/>
                <w:szCs w:val="24"/>
              </w:rPr>
              <w:t>30</w:t>
            </w:r>
          </w:p>
        </w:tc>
        <w:tc>
          <w:tcPr>
            <w:tcW w:w="6257"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480" w:lineRule="exact"/>
              <w:ind w:left="108" w:right="96" w:firstLine="641"/>
              <w:jc w:val="left"/>
              <w:textAlignment w:val="auto"/>
              <w:rPr>
                <w:sz w:val="24"/>
                <w:szCs w:val="24"/>
              </w:rPr>
            </w:pPr>
            <w:r>
              <w:rPr>
                <w:spacing w:val="-7"/>
                <w:w w:val="95"/>
                <w:sz w:val="24"/>
                <w:szCs w:val="24"/>
              </w:rPr>
              <w:t>水质检测数据合格，水质稳定，不返黑返</w:t>
            </w:r>
            <w:r>
              <w:rPr>
                <w:spacing w:val="-10"/>
                <w:w w:val="95"/>
                <w:sz w:val="24"/>
                <w:szCs w:val="24"/>
              </w:rPr>
              <w:t xml:space="preserve">臭。水质指标为基础指标，每月委托第三方检 </w:t>
            </w:r>
            <w:r>
              <w:rPr>
                <w:spacing w:val="-11"/>
                <w:w w:val="95"/>
                <w:sz w:val="24"/>
                <w:szCs w:val="24"/>
              </w:rPr>
              <w:t>测单位按照要</w:t>
            </w:r>
            <w:r>
              <w:rPr>
                <w:spacing w:val="-12"/>
                <w:sz w:val="24"/>
                <w:szCs w:val="24"/>
              </w:rPr>
              <w:t>求的检测频次、取样点位距离等要求进行水质</w:t>
            </w:r>
            <w:r>
              <w:rPr>
                <w:spacing w:val="-10"/>
                <w:sz w:val="24"/>
                <w:szCs w:val="24"/>
              </w:rPr>
              <w:t>取样。单条水系月度检测数据不合格的，</w:t>
            </w:r>
            <w:r>
              <w:rPr>
                <w:spacing w:val="-12"/>
                <w:sz w:val="24"/>
                <w:szCs w:val="24"/>
              </w:rPr>
              <w:t>本项不得分。</w:t>
            </w:r>
          </w:p>
        </w:tc>
        <w:tc>
          <w:tcPr>
            <w:tcW w:w="761" w:type="dxa"/>
            <w:noWrap w:val="0"/>
            <w:vAlign w:val="center"/>
          </w:tcPr>
          <w:p>
            <w:pPr>
              <w:pStyle w:val="13"/>
              <w:jc w:val="center"/>
              <w:rPr>
                <w:rFonts w:asci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7" w:hRule="atLeast"/>
        </w:trPr>
        <w:tc>
          <w:tcPr>
            <w:tcW w:w="918" w:type="dxa"/>
            <w:vMerge w:val="restart"/>
            <w:noWrap w:val="0"/>
            <w:vAlign w:val="center"/>
          </w:tcPr>
          <w:p>
            <w:pPr>
              <w:pStyle w:val="13"/>
              <w:ind w:right="183"/>
              <w:jc w:val="center"/>
              <w:rPr>
                <w:rFonts w:hint="eastAsia" w:eastAsia="仿宋"/>
                <w:sz w:val="24"/>
                <w:szCs w:val="24"/>
                <w:lang w:eastAsia="zh-CN"/>
              </w:rPr>
            </w:pPr>
            <w:r>
              <w:rPr>
                <w:rFonts w:hint="eastAsia"/>
                <w:sz w:val="24"/>
                <w:szCs w:val="24"/>
                <w:lang w:eastAsia="zh-CN"/>
              </w:rPr>
              <w:t>生态指标</w:t>
            </w:r>
          </w:p>
        </w:tc>
        <w:tc>
          <w:tcPr>
            <w:tcW w:w="781" w:type="dxa"/>
            <w:vMerge w:val="restart"/>
            <w:noWrap w:val="0"/>
            <w:vAlign w:val="center"/>
          </w:tcPr>
          <w:p>
            <w:pPr>
              <w:pStyle w:val="13"/>
              <w:ind w:right="129"/>
              <w:jc w:val="center"/>
              <w:rPr>
                <w:rFonts w:hint="default" w:eastAsia="仿宋"/>
                <w:sz w:val="24"/>
                <w:szCs w:val="24"/>
                <w:lang w:val="en-US" w:eastAsia="zh-CN"/>
              </w:rPr>
            </w:pPr>
            <w:r>
              <w:rPr>
                <w:rFonts w:hint="eastAsia"/>
                <w:sz w:val="24"/>
                <w:szCs w:val="24"/>
                <w:lang w:val="en-US" w:eastAsia="zh-CN"/>
              </w:rPr>
              <w:t>20</w:t>
            </w:r>
          </w:p>
        </w:tc>
        <w:tc>
          <w:tcPr>
            <w:tcW w:w="6257"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480" w:lineRule="exact"/>
              <w:ind w:left="108" w:right="96" w:firstLine="641"/>
              <w:jc w:val="left"/>
              <w:textAlignment w:val="auto"/>
              <w:rPr>
                <w:spacing w:val="-10"/>
                <w:sz w:val="24"/>
                <w:szCs w:val="24"/>
              </w:rPr>
            </w:pPr>
            <w:r>
              <w:rPr>
                <w:rFonts w:hint="eastAsia"/>
                <w:spacing w:val="-10"/>
                <w:sz w:val="24"/>
                <w:szCs w:val="24"/>
                <w:lang w:val="en-US" w:eastAsia="zh-CN"/>
              </w:rPr>
              <w:t>水生动物：有方形环棱螺、梨形环棱螺、田螺等为主的螺类3种以上，</w:t>
            </w:r>
            <w:r>
              <w:rPr>
                <w:rFonts w:hint="default"/>
                <w:spacing w:val="-10"/>
                <w:sz w:val="24"/>
                <w:szCs w:val="24"/>
                <w:lang w:val="en-US" w:eastAsia="zh-CN"/>
              </w:rPr>
              <w:t>有褶纹冠蚌、背角无齿蚌、蚶形无齿蚌、圆顶珠蚌、短褶矛蚌、真柱状矛蚌、射线裂脊蚌、洞穴丽蚌、河蚬等为主的蚌类9种以上</w:t>
            </w:r>
            <w:r>
              <w:rPr>
                <w:rFonts w:hint="eastAsia"/>
                <w:spacing w:val="-10"/>
                <w:sz w:val="24"/>
                <w:szCs w:val="24"/>
                <w:lang w:val="en-US" w:eastAsia="zh-CN"/>
              </w:rPr>
              <w:t>，</w:t>
            </w:r>
            <w:r>
              <w:rPr>
                <w:rFonts w:hint="default"/>
                <w:spacing w:val="-10"/>
                <w:sz w:val="24"/>
                <w:szCs w:val="24"/>
                <w:lang w:val="en-US" w:eastAsia="zh-CN"/>
              </w:rPr>
              <w:t>且生长存活状况良好、密度合理</w:t>
            </w:r>
            <w:r>
              <w:rPr>
                <w:rFonts w:hint="eastAsia"/>
                <w:spacing w:val="-10"/>
                <w:sz w:val="24"/>
                <w:szCs w:val="24"/>
                <w:lang w:val="en-US" w:eastAsia="zh-CN"/>
              </w:rPr>
              <w:t>，每少一种扣1分。</w:t>
            </w:r>
            <w:r>
              <w:rPr>
                <w:spacing w:val="-20"/>
                <w:sz w:val="24"/>
                <w:szCs w:val="24"/>
              </w:rPr>
              <w:t>直至扣完为止。</w:t>
            </w:r>
          </w:p>
        </w:tc>
        <w:tc>
          <w:tcPr>
            <w:tcW w:w="761" w:type="dxa"/>
            <w:vMerge w:val="restart"/>
            <w:noWrap w:val="0"/>
            <w:vAlign w:val="center"/>
          </w:tcPr>
          <w:p>
            <w:pPr>
              <w:pStyle w:val="13"/>
              <w:jc w:val="center"/>
              <w:rPr>
                <w:rFonts w:asci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8" w:type="dxa"/>
            <w:vMerge w:val="continue"/>
            <w:noWrap w:val="0"/>
            <w:vAlign w:val="center"/>
          </w:tcPr>
          <w:p>
            <w:pPr>
              <w:pStyle w:val="13"/>
              <w:spacing w:before="79" w:line="292" w:lineRule="auto"/>
              <w:ind w:left="106" w:right="23" w:firstLine="640"/>
              <w:jc w:val="center"/>
              <w:rPr>
                <w:sz w:val="24"/>
                <w:szCs w:val="24"/>
              </w:rPr>
            </w:pPr>
          </w:p>
        </w:tc>
        <w:tc>
          <w:tcPr>
            <w:tcW w:w="781" w:type="dxa"/>
            <w:vMerge w:val="continue"/>
            <w:noWrap w:val="0"/>
            <w:vAlign w:val="center"/>
          </w:tcPr>
          <w:p>
            <w:pPr>
              <w:pStyle w:val="13"/>
              <w:spacing w:before="79" w:line="292" w:lineRule="auto"/>
              <w:ind w:right="23"/>
              <w:jc w:val="center"/>
              <w:rPr>
                <w:rFonts w:hint="eastAsia" w:eastAsia="仿宋"/>
                <w:sz w:val="24"/>
                <w:szCs w:val="24"/>
                <w:lang w:eastAsia="zh-CN"/>
              </w:rPr>
            </w:pPr>
          </w:p>
        </w:tc>
        <w:tc>
          <w:tcPr>
            <w:tcW w:w="6257"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480" w:lineRule="exact"/>
              <w:ind w:left="108" w:right="96" w:firstLine="641"/>
              <w:jc w:val="left"/>
              <w:textAlignment w:val="auto"/>
              <w:rPr>
                <w:rFonts w:hint="eastAsia"/>
                <w:spacing w:val="-10"/>
                <w:sz w:val="24"/>
                <w:szCs w:val="24"/>
                <w:lang w:val="en-US" w:eastAsia="zh-CN"/>
              </w:rPr>
            </w:pPr>
            <w:r>
              <w:rPr>
                <w:rFonts w:hint="default"/>
                <w:spacing w:val="-10"/>
                <w:sz w:val="24"/>
                <w:szCs w:val="24"/>
                <w:lang w:val="en-US" w:eastAsia="zh-CN"/>
              </w:rPr>
              <w:t>水生植物包含挺水植物、沉水植物、浮叶植物，且整体绿化率在春夏两季达30-40%。</w:t>
            </w:r>
            <w:r>
              <w:rPr>
                <w:rFonts w:hint="eastAsia"/>
                <w:spacing w:val="-10"/>
                <w:sz w:val="24"/>
                <w:szCs w:val="24"/>
                <w:lang w:val="en-US" w:eastAsia="zh-CN"/>
              </w:rPr>
              <w:t>每少10%扣2分。</w:t>
            </w:r>
            <w:r>
              <w:rPr>
                <w:rFonts w:hint="default"/>
                <w:spacing w:val="-10"/>
                <w:sz w:val="24"/>
                <w:szCs w:val="24"/>
                <w:lang w:val="en-US" w:eastAsia="zh-CN"/>
              </w:rPr>
              <w:t>直至扣完为止。</w:t>
            </w:r>
          </w:p>
        </w:tc>
        <w:tc>
          <w:tcPr>
            <w:tcW w:w="761" w:type="dxa"/>
            <w:vMerge w:val="continue"/>
            <w:noWrap w:val="0"/>
            <w:vAlign w:val="center"/>
          </w:tcPr>
          <w:p>
            <w:pPr>
              <w:pStyle w:val="13"/>
              <w:spacing w:before="79" w:line="292" w:lineRule="auto"/>
              <w:ind w:left="106" w:right="23" w:firstLine="640"/>
              <w:jc w:val="center"/>
              <w:rPr>
                <w:rFonts w:hint="eastAsia" w:ascii="宋体" w:hAnsi="宋体" w:eastAsia="宋体" w:cs="宋体"/>
                <w:b w:val="0"/>
                <w:bCs w:val="0"/>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7" w:hRule="atLeast"/>
        </w:trPr>
        <w:tc>
          <w:tcPr>
            <w:tcW w:w="918" w:type="dxa"/>
            <w:noWrap w:val="0"/>
            <w:vAlign w:val="center"/>
          </w:tcPr>
          <w:p>
            <w:pPr>
              <w:pStyle w:val="13"/>
              <w:ind w:right="183"/>
              <w:jc w:val="center"/>
              <w:rPr>
                <w:sz w:val="24"/>
                <w:szCs w:val="24"/>
              </w:rPr>
            </w:pPr>
            <w:r>
              <w:rPr>
                <w:sz w:val="24"/>
                <w:szCs w:val="24"/>
              </w:rPr>
              <w:t>水域管理</w:t>
            </w:r>
          </w:p>
        </w:tc>
        <w:tc>
          <w:tcPr>
            <w:tcW w:w="781" w:type="dxa"/>
            <w:noWrap w:val="0"/>
            <w:vAlign w:val="center"/>
          </w:tcPr>
          <w:p>
            <w:pPr>
              <w:pStyle w:val="13"/>
              <w:ind w:right="129"/>
              <w:jc w:val="center"/>
              <w:rPr>
                <w:sz w:val="24"/>
                <w:szCs w:val="24"/>
              </w:rPr>
            </w:pPr>
            <w:r>
              <w:rPr>
                <w:sz w:val="24"/>
                <w:szCs w:val="24"/>
              </w:rPr>
              <w:t>10</w:t>
            </w:r>
          </w:p>
        </w:tc>
        <w:tc>
          <w:tcPr>
            <w:tcW w:w="6257" w:type="dxa"/>
            <w:noWrap w:val="0"/>
            <w:vAlign w:val="center"/>
          </w:tcPr>
          <w:p>
            <w:pPr>
              <w:pStyle w:val="13"/>
              <w:keepNext w:val="0"/>
              <w:keepLines w:val="0"/>
              <w:pageBreakBefore w:val="0"/>
              <w:widowControl w:val="0"/>
              <w:kinsoku/>
              <w:wordWrap/>
              <w:overflowPunct/>
              <w:topLinePunct w:val="0"/>
              <w:autoSpaceDE/>
              <w:autoSpaceDN/>
              <w:bidi w:val="0"/>
              <w:adjustRightInd/>
              <w:snapToGrid/>
              <w:spacing w:before="79" w:line="480" w:lineRule="exact"/>
              <w:ind w:left="108" w:right="23" w:firstLine="641"/>
              <w:jc w:val="left"/>
              <w:textAlignment w:val="auto"/>
              <w:rPr>
                <w:rFonts w:hint="eastAsia" w:eastAsia="仿宋"/>
                <w:sz w:val="24"/>
                <w:szCs w:val="24"/>
                <w:lang w:eastAsia="zh-CN"/>
              </w:rPr>
            </w:pPr>
            <w:r>
              <w:rPr>
                <w:w w:val="95"/>
                <w:sz w:val="24"/>
                <w:szCs w:val="24"/>
              </w:rPr>
              <w:t xml:space="preserve">水面无漂浮物，无规模化家禽家畜养殖， </w:t>
            </w:r>
            <w:r>
              <w:rPr>
                <w:spacing w:val="-8"/>
                <w:sz w:val="24"/>
                <w:szCs w:val="24"/>
              </w:rPr>
              <w:t>无污染性洗涤。水域管理为立行立改，单条水</w:t>
            </w:r>
            <w:r>
              <w:rPr>
                <w:spacing w:val="-13"/>
                <w:sz w:val="24"/>
                <w:szCs w:val="24"/>
              </w:rPr>
              <w:t xml:space="preserve">系出现大面积水面漂浮物的，面积大于 </w:t>
            </w:r>
            <w:r>
              <w:rPr>
                <w:sz w:val="24"/>
                <w:szCs w:val="24"/>
              </w:rPr>
              <w:t>5m</w:t>
            </w:r>
            <w:r>
              <w:rPr>
                <w:rFonts w:hint="eastAsia"/>
                <w:sz w:val="36"/>
                <w:szCs w:val="36"/>
                <w:vertAlign w:val="superscript"/>
                <w:lang w:val="en-US" w:eastAsia="zh-CN"/>
              </w:rPr>
              <w:t>2</w:t>
            </w:r>
            <w:r>
              <w:rPr>
                <w:position w:val="16"/>
                <w:sz w:val="24"/>
                <w:szCs w:val="24"/>
              </w:rPr>
              <w:t xml:space="preserve"> </w:t>
            </w:r>
            <w:r>
              <w:rPr>
                <w:sz w:val="24"/>
                <w:szCs w:val="24"/>
              </w:rPr>
              <w:t>或</w:t>
            </w:r>
            <w:r>
              <w:rPr>
                <w:spacing w:val="-5"/>
                <w:sz w:val="24"/>
                <w:szCs w:val="24"/>
              </w:rPr>
              <w:t>宽度大于河宽四分之一或长度大于河宽的，本</w:t>
            </w:r>
            <w:r>
              <w:rPr>
                <w:spacing w:val="-21"/>
                <w:sz w:val="24"/>
                <w:szCs w:val="24"/>
              </w:rPr>
              <w:t xml:space="preserve">项每处扣 </w:t>
            </w:r>
            <w:r>
              <w:rPr>
                <w:sz w:val="24"/>
                <w:szCs w:val="24"/>
              </w:rPr>
              <w:t>4</w:t>
            </w:r>
            <w:r>
              <w:rPr>
                <w:spacing w:val="-13"/>
                <w:sz w:val="24"/>
                <w:szCs w:val="24"/>
              </w:rPr>
              <w:t xml:space="preserve"> 分，直至扣完为止。出现底泥上翻</w:t>
            </w:r>
            <w:r>
              <w:rPr>
                <w:spacing w:val="-5"/>
                <w:sz w:val="24"/>
                <w:szCs w:val="24"/>
              </w:rPr>
              <w:t xml:space="preserve">现象的要查明原因，每发现一处本项扣 </w:t>
            </w:r>
            <w:r>
              <w:rPr>
                <w:rFonts w:hint="eastAsia"/>
                <w:sz w:val="24"/>
                <w:szCs w:val="24"/>
                <w:lang w:val="en-US" w:eastAsia="zh-CN"/>
              </w:rPr>
              <w:t>4</w:t>
            </w:r>
            <w:r>
              <w:rPr>
                <w:spacing w:val="-28"/>
                <w:sz w:val="24"/>
                <w:szCs w:val="24"/>
              </w:rPr>
              <w:t xml:space="preserve"> 分， </w:t>
            </w:r>
            <w:r>
              <w:rPr>
                <w:spacing w:val="-17"/>
                <w:sz w:val="24"/>
                <w:szCs w:val="24"/>
              </w:rPr>
              <w:t>直至扣完为止。岸边存在家禽家畜养殖，造成</w:t>
            </w:r>
            <w:r>
              <w:rPr>
                <w:spacing w:val="-15"/>
                <w:sz w:val="24"/>
                <w:szCs w:val="24"/>
              </w:rPr>
              <w:t>面源污染风险的，本项不得分。若单条水系被</w:t>
            </w:r>
            <w:r>
              <w:rPr>
                <w:spacing w:val="-18"/>
                <w:sz w:val="24"/>
                <w:szCs w:val="24"/>
              </w:rPr>
              <w:t>市级及以上通报的，</w:t>
            </w:r>
            <w:r>
              <w:rPr>
                <w:rFonts w:hint="eastAsia"/>
                <w:spacing w:val="-18"/>
                <w:sz w:val="24"/>
                <w:szCs w:val="24"/>
                <w:lang w:eastAsia="zh-CN"/>
              </w:rPr>
              <w:t>本项不得分。</w:t>
            </w:r>
          </w:p>
        </w:tc>
        <w:tc>
          <w:tcPr>
            <w:tcW w:w="761" w:type="dxa"/>
            <w:noWrap w:val="0"/>
            <w:vAlign w:val="center"/>
          </w:tcPr>
          <w:p>
            <w:pPr>
              <w:pStyle w:val="13"/>
              <w:jc w:val="center"/>
              <w:rPr>
                <w:rFonts w:asci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trPr>
        <w:tc>
          <w:tcPr>
            <w:tcW w:w="918" w:type="dxa"/>
            <w:noWrap w:val="0"/>
            <w:vAlign w:val="center"/>
          </w:tcPr>
          <w:p>
            <w:pPr>
              <w:pStyle w:val="13"/>
              <w:spacing w:before="215"/>
              <w:jc w:val="center"/>
              <w:rPr>
                <w:sz w:val="24"/>
                <w:szCs w:val="24"/>
              </w:rPr>
            </w:pPr>
            <w:r>
              <w:rPr>
                <w:sz w:val="24"/>
                <w:szCs w:val="24"/>
              </w:rPr>
              <w:t>岸线管理</w:t>
            </w:r>
          </w:p>
        </w:tc>
        <w:tc>
          <w:tcPr>
            <w:tcW w:w="781" w:type="dxa"/>
            <w:noWrap w:val="0"/>
            <w:vAlign w:val="center"/>
          </w:tcPr>
          <w:p>
            <w:pPr>
              <w:pStyle w:val="13"/>
              <w:spacing w:before="215"/>
              <w:ind w:right="129" w:rightChars="0"/>
              <w:jc w:val="center"/>
              <w:rPr>
                <w:sz w:val="24"/>
                <w:szCs w:val="24"/>
              </w:rPr>
            </w:pPr>
            <w:r>
              <w:rPr>
                <w:rFonts w:hint="eastAsia"/>
                <w:sz w:val="24"/>
                <w:szCs w:val="24"/>
                <w:lang w:val="en-US" w:eastAsia="zh-CN"/>
              </w:rPr>
              <w:t>5</w:t>
            </w:r>
          </w:p>
        </w:tc>
        <w:tc>
          <w:tcPr>
            <w:tcW w:w="6257" w:type="dxa"/>
            <w:noWrap w:val="0"/>
            <w:vAlign w:val="top"/>
          </w:tcPr>
          <w:p>
            <w:pPr>
              <w:pStyle w:val="13"/>
              <w:keepNext w:val="0"/>
              <w:keepLines w:val="0"/>
              <w:pageBreakBefore w:val="0"/>
              <w:widowControl w:val="0"/>
              <w:kinsoku/>
              <w:wordWrap/>
              <w:overflowPunct/>
              <w:topLinePunct w:val="0"/>
              <w:autoSpaceDE/>
              <w:autoSpaceDN/>
              <w:bidi w:val="0"/>
              <w:adjustRightInd/>
              <w:snapToGrid/>
              <w:spacing w:before="81" w:line="480" w:lineRule="exact"/>
              <w:ind w:left="108" w:leftChars="0" w:right="96" w:rightChars="0" w:firstLine="641" w:firstLineChars="0"/>
              <w:jc w:val="left"/>
              <w:textAlignment w:val="auto"/>
              <w:rPr>
                <w:w w:val="95"/>
                <w:sz w:val="24"/>
                <w:szCs w:val="24"/>
              </w:rPr>
            </w:pPr>
            <w:r>
              <w:rPr>
                <w:rFonts w:hint="eastAsia" w:ascii="仿宋" w:hAnsi="仿宋" w:eastAsia="仿宋" w:cs="仿宋"/>
                <w:spacing w:val="-8"/>
                <w:w w:val="95"/>
                <w:sz w:val="24"/>
                <w:szCs w:val="24"/>
              </w:rPr>
              <w:t>岸线无垃圾、种菜现象，无排污口。岸线</w:t>
            </w:r>
            <w:r>
              <w:rPr>
                <w:rFonts w:hint="eastAsia" w:ascii="仿宋" w:hAnsi="仿宋" w:eastAsia="仿宋" w:cs="仿宋"/>
                <w:spacing w:val="-12"/>
                <w:w w:val="95"/>
                <w:sz w:val="24"/>
                <w:szCs w:val="24"/>
              </w:rPr>
              <w:t>管理为长期管理，单条水系出现岸线垃圾、种</w:t>
            </w:r>
            <w:r>
              <w:rPr>
                <w:rFonts w:hint="eastAsia" w:ascii="仿宋" w:hAnsi="仿宋" w:eastAsia="仿宋" w:cs="仿宋"/>
                <w:spacing w:val="-15"/>
                <w:sz w:val="24"/>
                <w:szCs w:val="24"/>
              </w:rPr>
              <w:t xml:space="preserve">菜现象，每发现一处本项扣 </w:t>
            </w:r>
            <w:r>
              <w:rPr>
                <w:rFonts w:hint="eastAsia" w:ascii="仿宋" w:hAnsi="仿宋" w:eastAsia="仿宋" w:cs="仿宋"/>
                <w:sz w:val="24"/>
                <w:szCs w:val="24"/>
              </w:rPr>
              <w:t>1</w:t>
            </w:r>
            <w:r>
              <w:rPr>
                <w:rFonts w:hint="eastAsia" w:ascii="仿宋" w:hAnsi="仿宋" w:eastAsia="仿宋" w:cs="仿宋"/>
                <w:spacing w:val="-16"/>
                <w:sz w:val="24"/>
                <w:szCs w:val="24"/>
              </w:rPr>
              <w:t xml:space="preserve"> 分，直至扣完为</w:t>
            </w:r>
            <w:r>
              <w:rPr>
                <w:rFonts w:hint="eastAsia" w:ascii="仿宋" w:hAnsi="仿宋" w:eastAsia="仿宋" w:cs="仿宋"/>
                <w:spacing w:val="-20"/>
                <w:sz w:val="24"/>
                <w:szCs w:val="24"/>
              </w:rPr>
              <w:t xml:space="preserve">止。存在临时垃圾堆放点或存在面积大于 </w:t>
            </w:r>
            <w:r>
              <w:rPr>
                <w:rFonts w:hint="eastAsia" w:ascii="仿宋" w:hAnsi="仿宋" w:eastAsia="仿宋" w:cs="仿宋"/>
                <w:sz w:val="24"/>
                <w:szCs w:val="24"/>
              </w:rPr>
              <w:t>1m</w:t>
            </w:r>
            <w:r>
              <w:rPr>
                <w:rFonts w:hint="eastAsia" w:ascii="仿宋" w:hAnsi="仿宋" w:eastAsia="仿宋" w:cs="仿宋"/>
                <w:sz w:val="36"/>
                <w:szCs w:val="36"/>
                <w:vertAlign w:val="superscript"/>
              </w:rPr>
              <w:t>2</w:t>
            </w:r>
            <w:r>
              <w:rPr>
                <w:rFonts w:hint="eastAsia" w:ascii="仿宋" w:hAnsi="仿宋" w:eastAsia="仿宋" w:cs="仿宋"/>
                <w:sz w:val="24"/>
                <w:szCs w:val="24"/>
              </w:rPr>
              <w:t xml:space="preserve"> </w:t>
            </w:r>
            <w:r>
              <w:rPr>
                <w:rFonts w:hint="eastAsia" w:ascii="仿宋" w:hAnsi="仿宋" w:eastAsia="仿宋" w:cs="仿宋"/>
                <w:spacing w:val="-6"/>
                <w:w w:val="95"/>
                <w:sz w:val="24"/>
                <w:szCs w:val="24"/>
              </w:rPr>
              <w:t>明显人为倾倒或堆放垃圾的，每发现一处本项</w:t>
            </w:r>
            <w:r>
              <w:rPr>
                <w:rFonts w:hint="eastAsia" w:cs="仿宋"/>
                <w:spacing w:val="-6"/>
                <w:w w:val="95"/>
                <w:sz w:val="24"/>
                <w:szCs w:val="24"/>
                <w:lang w:eastAsia="zh-CN"/>
              </w:rPr>
              <w:t>扣</w:t>
            </w:r>
            <w:r>
              <w:rPr>
                <w:rFonts w:hint="eastAsia" w:cs="仿宋"/>
                <w:spacing w:val="-6"/>
                <w:w w:val="95"/>
                <w:sz w:val="24"/>
                <w:szCs w:val="24"/>
                <w:lang w:val="en-US" w:eastAsia="zh-CN"/>
              </w:rPr>
              <w:t>1分</w:t>
            </w:r>
            <w:r>
              <w:rPr>
                <w:rFonts w:hint="eastAsia" w:ascii="仿宋" w:hAnsi="仿宋" w:eastAsia="仿宋" w:cs="仿宋"/>
                <w:spacing w:val="-13"/>
                <w:sz w:val="24"/>
                <w:szCs w:val="24"/>
              </w:rPr>
              <w:t>，直至扣完为止。若发现违法排污口或</w:t>
            </w:r>
            <w:r>
              <w:rPr>
                <w:rFonts w:hint="eastAsia" w:ascii="仿宋" w:hAnsi="仿宋" w:eastAsia="仿宋" w:cs="仿宋"/>
                <w:sz w:val="24"/>
                <w:szCs w:val="24"/>
              </w:rPr>
              <w:t>晴天雨水口流污水的本项不得分。</w:t>
            </w:r>
          </w:p>
        </w:tc>
        <w:tc>
          <w:tcPr>
            <w:tcW w:w="761" w:type="dxa"/>
            <w:noWrap w:val="0"/>
            <w:vAlign w:val="center"/>
          </w:tcPr>
          <w:p>
            <w:pPr>
              <w:pStyle w:val="13"/>
              <w:spacing w:before="215"/>
              <w:jc w:val="center"/>
              <w:rPr>
                <w:rFonts w:asci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5" w:hRule="atLeast"/>
        </w:trPr>
        <w:tc>
          <w:tcPr>
            <w:tcW w:w="918" w:type="dxa"/>
            <w:noWrap w:val="0"/>
            <w:vAlign w:val="center"/>
          </w:tcPr>
          <w:p>
            <w:pPr>
              <w:pStyle w:val="13"/>
              <w:jc w:val="center"/>
              <w:rPr>
                <w:sz w:val="24"/>
                <w:szCs w:val="24"/>
              </w:rPr>
            </w:pPr>
            <w:r>
              <w:rPr>
                <w:sz w:val="24"/>
                <w:szCs w:val="24"/>
              </w:rPr>
              <w:t>设施养护</w:t>
            </w:r>
          </w:p>
        </w:tc>
        <w:tc>
          <w:tcPr>
            <w:tcW w:w="781" w:type="dxa"/>
            <w:noWrap w:val="0"/>
            <w:vAlign w:val="center"/>
          </w:tcPr>
          <w:p>
            <w:pPr>
              <w:pStyle w:val="13"/>
              <w:jc w:val="center"/>
              <w:rPr>
                <w:sz w:val="24"/>
                <w:szCs w:val="24"/>
              </w:rPr>
            </w:pPr>
            <w:r>
              <w:rPr>
                <w:w w:val="100"/>
                <w:sz w:val="24"/>
                <w:szCs w:val="24"/>
              </w:rPr>
              <w:t>5</w:t>
            </w:r>
          </w:p>
        </w:tc>
        <w:tc>
          <w:tcPr>
            <w:tcW w:w="6257" w:type="dxa"/>
            <w:noWrap w:val="0"/>
            <w:vAlign w:val="top"/>
          </w:tcPr>
          <w:p>
            <w:pPr>
              <w:pStyle w:val="13"/>
              <w:keepNext w:val="0"/>
              <w:keepLines w:val="0"/>
              <w:pageBreakBefore w:val="0"/>
              <w:widowControl w:val="0"/>
              <w:kinsoku/>
              <w:wordWrap/>
              <w:overflowPunct/>
              <w:topLinePunct w:val="0"/>
              <w:autoSpaceDE/>
              <w:autoSpaceDN/>
              <w:bidi w:val="0"/>
              <w:adjustRightInd/>
              <w:snapToGrid/>
              <w:spacing w:before="80" w:line="480" w:lineRule="exact"/>
              <w:ind w:left="108" w:leftChars="0" w:right="23" w:rightChars="0" w:firstLine="641" w:firstLineChars="0"/>
              <w:jc w:val="left"/>
              <w:textAlignment w:val="auto"/>
              <w:rPr>
                <w:w w:val="95"/>
                <w:sz w:val="24"/>
                <w:szCs w:val="24"/>
              </w:rPr>
            </w:pPr>
            <w:r>
              <w:rPr>
                <w:spacing w:val="-16"/>
                <w:sz w:val="24"/>
                <w:szCs w:val="24"/>
              </w:rPr>
              <w:t>曝气、活水循环等设施养护正常管理，提升水质的设备设施能够正常运行的，不扣分，否则扣 2 分，按设备数累加，直至扣完为止。</w:t>
            </w:r>
          </w:p>
        </w:tc>
        <w:tc>
          <w:tcPr>
            <w:tcW w:w="761" w:type="dxa"/>
            <w:noWrap w:val="0"/>
            <w:vAlign w:val="top"/>
          </w:tcPr>
          <w:p>
            <w:pPr>
              <w:pStyle w:val="13"/>
              <w:rPr>
                <w:rFonts w:asci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7" w:hRule="atLeast"/>
        </w:trPr>
        <w:tc>
          <w:tcPr>
            <w:tcW w:w="918" w:type="dxa"/>
            <w:noWrap w:val="0"/>
            <w:vAlign w:val="center"/>
          </w:tcPr>
          <w:p>
            <w:pPr>
              <w:pStyle w:val="13"/>
              <w:keepNext w:val="0"/>
              <w:keepLines w:val="0"/>
              <w:pageBreakBefore w:val="0"/>
              <w:widowControl w:val="0"/>
              <w:kinsoku/>
              <w:wordWrap/>
              <w:overflowPunct/>
              <w:topLinePunct w:val="0"/>
              <w:autoSpaceDE/>
              <w:autoSpaceDN/>
              <w:bidi w:val="0"/>
              <w:adjustRightInd/>
              <w:snapToGrid/>
              <w:spacing w:before="241" w:line="480" w:lineRule="exact"/>
              <w:ind w:right="200" w:rightChars="0"/>
              <w:jc w:val="center"/>
              <w:textAlignment w:val="auto"/>
              <w:rPr>
                <w:sz w:val="24"/>
                <w:szCs w:val="24"/>
              </w:rPr>
            </w:pPr>
            <w:r>
              <w:rPr>
                <w:sz w:val="24"/>
                <w:szCs w:val="24"/>
              </w:rPr>
              <w:t>日常巡查维护</w:t>
            </w:r>
          </w:p>
        </w:tc>
        <w:tc>
          <w:tcPr>
            <w:tcW w:w="781" w:type="dxa"/>
            <w:noWrap w:val="0"/>
            <w:vAlign w:val="center"/>
          </w:tcPr>
          <w:p>
            <w:pPr>
              <w:pStyle w:val="13"/>
              <w:keepNext w:val="0"/>
              <w:keepLines w:val="0"/>
              <w:pageBreakBefore w:val="0"/>
              <w:widowControl w:val="0"/>
              <w:kinsoku/>
              <w:wordWrap/>
              <w:overflowPunct/>
              <w:topLinePunct w:val="0"/>
              <w:autoSpaceDE/>
              <w:autoSpaceDN/>
              <w:bidi w:val="0"/>
              <w:adjustRightInd/>
              <w:snapToGrid/>
              <w:spacing w:before="182" w:line="480" w:lineRule="exact"/>
              <w:ind w:right="129" w:rightChars="0"/>
              <w:jc w:val="center"/>
              <w:textAlignment w:val="auto"/>
              <w:rPr>
                <w:w w:val="100"/>
                <w:sz w:val="24"/>
                <w:szCs w:val="24"/>
              </w:rPr>
            </w:pPr>
            <w:r>
              <w:rPr>
                <w:rFonts w:hint="eastAsia"/>
                <w:sz w:val="24"/>
                <w:szCs w:val="24"/>
                <w:lang w:val="en-US" w:eastAsia="zh-CN"/>
              </w:rPr>
              <w:t>10</w:t>
            </w:r>
          </w:p>
        </w:tc>
        <w:tc>
          <w:tcPr>
            <w:tcW w:w="6257" w:type="dxa"/>
            <w:noWrap w:val="0"/>
            <w:vAlign w:val="top"/>
          </w:tcPr>
          <w:p>
            <w:pPr>
              <w:pStyle w:val="13"/>
              <w:keepNext w:val="0"/>
              <w:keepLines w:val="0"/>
              <w:pageBreakBefore w:val="0"/>
              <w:widowControl w:val="0"/>
              <w:kinsoku/>
              <w:wordWrap/>
              <w:overflowPunct/>
              <w:topLinePunct w:val="0"/>
              <w:autoSpaceDE/>
              <w:autoSpaceDN/>
              <w:bidi w:val="0"/>
              <w:adjustRightInd/>
              <w:snapToGrid/>
              <w:spacing w:before="79" w:line="480" w:lineRule="exact"/>
              <w:ind w:left="108" w:leftChars="0" w:right="96" w:rightChars="0" w:firstLine="641" w:firstLineChars="0"/>
              <w:jc w:val="left"/>
              <w:textAlignment w:val="auto"/>
              <w:rPr>
                <w:spacing w:val="-16"/>
                <w:sz w:val="24"/>
                <w:szCs w:val="24"/>
              </w:rPr>
            </w:pPr>
            <w:r>
              <w:rPr>
                <w:spacing w:val="-5"/>
                <w:w w:val="95"/>
                <w:sz w:val="24"/>
                <w:szCs w:val="24"/>
              </w:rPr>
              <w:t>日常巡查养护能够长期正常开展，水体日</w:t>
            </w:r>
            <w:r>
              <w:rPr>
                <w:spacing w:val="-11"/>
                <w:w w:val="95"/>
                <w:sz w:val="24"/>
                <w:szCs w:val="24"/>
              </w:rPr>
              <w:t>常巡查人员到岗正常，有相关巡查维护的台账</w:t>
            </w:r>
            <w:r>
              <w:rPr>
                <w:spacing w:val="-22"/>
                <w:sz w:val="24"/>
                <w:szCs w:val="24"/>
              </w:rPr>
              <w:t xml:space="preserve">资料的，本项不扣分，否则每单条水系扣 </w:t>
            </w:r>
            <w:r>
              <w:rPr>
                <w:sz w:val="24"/>
                <w:szCs w:val="24"/>
              </w:rPr>
              <w:t>5</w:t>
            </w:r>
            <w:r>
              <w:rPr>
                <w:spacing w:val="-42"/>
                <w:sz w:val="24"/>
                <w:szCs w:val="24"/>
              </w:rPr>
              <w:t xml:space="preserve"> 分</w:t>
            </w:r>
            <w:r>
              <w:rPr>
                <w:sz w:val="24"/>
                <w:szCs w:val="24"/>
              </w:rPr>
              <w:t>直至扣完为止。</w:t>
            </w:r>
          </w:p>
        </w:tc>
        <w:tc>
          <w:tcPr>
            <w:tcW w:w="761" w:type="dxa"/>
            <w:noWrap w:val="0"/>
            <w:vAlign w:val="top"/>
          </w:tcPr>
          <w:p>
            <w:pPr>
              <w:pStyle w:val="13"/>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7" w:hRule="atLeast"/>
        </w:trPr>
        <w:tc>
          <w:tcPr>
            <w:tcW w:w="918"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480" w:lineRule="exact"/>
              <w:ind w:right="200" w:rightChars="0"/>
              <w:jc w:val="center"/>
              <w:textAlignment w:val="auto"/>
              <w:rPr>
                <w:sz w:val="24"/>
                <w:szCs w:val="24"/>
              </w:rPr>
            </w:pPr>
            <w:r>
              <w:rPr>
                <w:spacing w:val="-6"/>
                <w:sz w:val="24"/>
                <w:szCs w:val="24"/>
              </w:rPr>
              <w:t>群众投诉举报件问</w:t>
            </w:r>
            <w:r>
              <w:rPr>
                <w:sz w:val="24"/>
                <w:szCs w:val="24"/>
              </w:rPr>
              <w:t>题处理</w:t>
            </w:r>
          </w:p>
        </w:tc>
        <w:tc>
          <w:tcPr>
            <w:tcW w:w="781" w:type="dxa"/>
            <w:noWrap w:val="0"/>
            <w:vAlign w:val="center"/>
          </w:tcPr>
          <w:p>
            <w:pPr>
              <w:pStyle w:val="13"/>
              <w:ind w:right="129" w:rightChars="0"/>
              <w:jc w:val="center"/>
              <w:rPr>
                <w:rFonts w:hint="eastAsia"/>
                <w:sz w:val="24"/>
                <w:szCs w:val="24"/>
                <w:lang w:val="en-US" w:eastAsia="zh-CN"/>
              </w:rPr>
            </w:pPr>
            <w:r>
              <w:rPr>
                <w:rFonts w:hint="eastAsia"/>
                <w:sz w:val="24"/>
                <w:szCs w:val="24"/>
                <w:lang w:val="en-US" w:eastAsia="zh-CN"/>
              </w:rPr>
              <w:t>5</w:t>
            </w:r>
          </w:p>
        </w:tc>
        <w:tc>
          <w:tcPr>
            <w:tcW w:w="6257" w:type="dxa"/>
            <w:noWrap w:val="0"/>
            <w:vAlign w:val="top"/>
          </w:tcPr>
          <w:p>
            <w:pPr>
              <w:pStyle w:val="13"/>
              <w:keepNext w:val="0"/>
              <w:keepLines w:val="0"/>
              <w:pageBreakBefore w:val="0"/>
              <w:widowControl w:val="0"/>
              <w:kinsoku/>
              <w:wordWrap/>
              <w:overflowPunct/>
              <w:topLinePunct w:val="0"/>
              <w:autoSpaceDE/>
              <w:autoSpaceDN/>
              <w:bidi w:val="0"/>
              <w:adjustRightInd/>
              <w:snapToGrid/>
              <w:spacing w:before="80" w:line="480" w:lineRule="exact"/>
              <w:ind w:left="108" w:leftChars="0" w:right="96" w:rightChars="0" w:firstLine="641" w:firstLineChars="0"/>
              <w:textAlignment w:val="auto"/>
              <w:rPr>
                <w:spacing w:val="-5"/>
                <w:w w:val="95"/>
                <w:sz w:val="24"/>
                <w:szCs w:val="24"/>
              </w:rPr>
            </w:pPr>
            <w:r>
              <w:rPr>
                <w:sz w:val="24"/>
                <w:szCs w:val="24"/>
              </w:rPr>
              <w:t>群众投诉举报件问题轻微且能够及时得</w:t>
            </w:r>
            <w:r>
              <w:rPr>
                <w:spacing w:val="-9"/>
                <w:w w:val="95"/>
                <w:sz w:val="24"/>
                <w:szCs w:val="24"/>
              </w:rPr>
              <w:t>到处理的，本项不扣分，未及时处理的每件扣</w:t>
            </w:r>
            <w:r>
              <w:rPr>
                <w:rFonts w:hint="eastAsia"/>
                <w:spacing w:val="-9"/>
                <w:w w:val="95"/>
                <w:sz w:val="24"/>
                <w:szCs w:val="24"/>
                <w:lang w:val="en-US" w:eastAsia="zh-CN"/>
              </w:rPr>
              <w:t>1</w:t>
            </w:r>
            <w:r>
              <w:rPr>
                <w:spacing w:val="-10"/>
                <w:sz w:val="24"/>
                <w:szCs w:val="24"/>
              </w:rPr>
              <w:t xml:space="preserve"> 分；反映问题较严重，能及时处理的每件扣</w:t>
            </w:r>
            <w:r>
              <w:rPr>
                <w:sz w:val="24"/>
                <w:szCs w:val="24"/>
              </w:rPr>
              <w:t>2</w:t>
            </w:r>
            <w:r>
              <w:rPr>
                <w:spacing w:val="-15"/>
                <w:sz w:val="24"/>
                <w:szCs w:val="24"/>
              </w:rPr>
              <w:t xml:space="preserve"> 分，未及时处理的每件至少扣 </w:t>
            </w:r>
            <w:r>
              <w:rPr>
                <w:sz w:val="24"/>
                <w:szCs w:val="24"/>
              </w:rPr>
              <w:t>5</w:t>
            </w:r>
            <w:r>
              <w:rPr>
                <w:spacing w:val="-15"/>
                <w:sz w:val="24"/>
                <w:szCs w:val="24"/>
              </w:rPr>
              <w:t xml:space="preserve"> 分，直至扣完为止。</w:t>
            </w:r>
          </w:p>
        </w:tc>
        <w:tc>
          <w:tcPr>
            <w:tcW w:w="761" w:type="dxa"/>
            <w:noWrap w:val="0"/>
            <w:vAlign w:val="top"/>
          </w:tcPr>
          <w:p>
            <w:pPr>
              <w:pStyle w:val="13"/>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0" w:hRule="atLeast"/>
        </w:trPr>
        <w:tc>
          <w:tcPr>
            <w:tcW w:w="918"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480" w:lineRule="exact"/>
              <w:ind w:right="200" w:rightChars="0"/>
              <w:jc w:val="center"/>
              <w:textAlignment w:val="auto"/>
              <w:rPr>
                <w:spacing w:val="-6"/>
                <w:sz w:val="24"/>
                <w:szCs w:val="24"/>
              </w:rPr>
            </w:pPr>
            <w:r>
              <w:rPr>
                <w:spacing w:val="-6"/>
                <w:sz w:val="24"/>
                <w:szCs w:val="24"/>
              </w:rPr>
              <w:t>宣传报道</w:t>
            </w:r>
          </w:p>
        </w:tc>
        <w:tc>
          <w:tcPr>
            <w:tcW w:w="781"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480" w:lineRule="exact"/>
              <w:ind w:right="200" w:rightChars="0"/>
              <w:jc w:val="center"/>
              <w:textAlignment w:val="auto"/>
              <w:rPr>
                <w:rFonts w:hint="eastAsia"/>
                <w:sz w:val="24"/>
                <w:szCs w:val="24"/>
                <w:lang w:val="en-US" w:eastAsia="zh-CN"/>
              </w:rPr>
            </w:pPr>
            <w:r>
              <w:rPr>
                <w:spacing w:val="-6"/>
                <w:sz w:val="24"/>
                <w:szCs w:val="24"/>
              </w:rPr>
              <w:t>5</w:t>
            </w:r>
          </w:p>
        </w:tc>
        <w:tc>
          <w:tcPr>
            <w:tcW w:w="6257" w:type="dxa"/>
            <w:noWrap w:val="0"/>
            <w:vAlign w:val="top"/>
          </w:tcPr>
          <w:p>
            <w:pPr>
              <w:pStyle w:val="13"/>
              <w:keepNext w:val="0"/>
              <w:keepLines w:val="0"/>
              <w:pageBreakBefore w:val="0"/>
              <w:widowControl w:val="0"/>
              <w:kinsoku/>
              <w:wordWrap/>
              <w:overflowPunct/>
              <w:topLinePunct w:val="0"/>
              <w:autoSpaceDE/>
              <w:autoSpaceDN/>
              <w:bidi w:val="0"/>
              <w:adjustRightInd/>
              <w:snapToGrid/>
              <w:spacing w:line="480" w:lineRule="exact"/>
              <w:ind w:left="210" w:leftChars="0" w:right="198" w:rightChars="0" w:firstLine="684" w:firstLineChars="300"/>
              <w:jc w:val="left"/>
              <w:textAlignment w:val="auto"/>
              <w:rPr>
                <w:sz w:val="24"/>
                <w:szCs w:val="24"/>
              </w:rPr>
            </w:pPr>
            <w:r>
              <w:rPr>
                <w:spacing w:val="-6"/>
                <w:sz w:val="24"/>
                <w:szCs w:val="24"/>
              </w:rPr>
              <w:t>通过报刊、电视、公众号等新闻媒体进行宣传报导，通过宣传栏、公示栏和电子宣传牌 等各类载体，对水环境治理工作进行科普宣传，每月不少于 1 次。少于 1 次的，被考核单位所有水系每月扣 2 分，直至扣完为止。在市级及以上媒体宣传报导的，被考核单位所有水系每次加 5 分，每</w:t>
            </w:r>
            <w:r>
              <w:rPr>
                <w:rFonts w:hint="eastAsia"/>
                <w:spacing w:val="-6"/>
                <w:sz w:val="24"/>
                <w:szCs w:val="24"/>
                <w:lang w:eastAsia="zh-CN"/>
              </w:rPr>
              <w:t>月</w:t>
            </w:r>
            <w:r>
              <w:rPr>
                <w:spacing w:val="-6"/>
                <w:sz w:val="24"/>
                <w:szCs w:val="24"/>
              </w:rPr>
              <w:t>最多 5 分。</w:t>
            </w:r>
          </w:p>
        </w:tc>
        <w:tc>
          <w:tcPr>
            <w:tcW w:w="761" w:type="dxa"/>
            <w:noWrap w:val="0"/>
            <w:vAlign w:val="top"/>
          </w:tcPr>
          <w:p>
            <w:pPr>
              <w:pStyle w:val="13"/>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0" w:hRule="atLeast"/>
        </w:trPr>
        <w:tc>
          <w:tcPr>
            <w:tcW w:w="918"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480" w:lineRule="exact"/>
              <w:ind w:right="200" w:rightChars="0"/>
              <w:jc w:val="center"/>
              <w:textAlignment w:val="auto"/>
              <w:rPr>
                <w:spacing w:val="-6"/>
                <w:sz w:val="24"/>
                <w:szCs w:val="24"/>
              </w:rPr>
            </w:pPr>
            <w:r>
              <w:rPr>
                <w:spacing w:val="-6"/>
                <w:sz w:val="24"/>
                <w:szCs w:val="24"/>
              </w:rPr>
              <w:t>上级交办事项</w:t>
            </w:r>
          </w:p>
        </w:tc>
        <w:tc>
          <w:tcPr>
            <w:tcW w:w="781"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480" w:lineRule="exact"/>
              <w:ind w:left="211" w:right="200"/>
              <w:jc w:val="center"/>
              <w:textAlignment w:val="auto"/>
              <w:rPr>
                <w:spacing w:val="-6"/>
                <w:sz w:val="24"/>
                <w:szCs w:val="24"/>
              </w:rPr>
            </w:pPr>
            <w:r>
              <w:rPr>
                <w:rFonts w:hint="eastAsia"/>
                <w:spacing w:val="-6"/>
                <w:sz w:val="24"/>
                <w:szCs w:val="24"/>
                <w:lang w:val="en-US" w:eastAsia="zh-CN"/>
              </w:rPr>
              <w:t>10</w:t>
            </w:r>
          </w:p>
        </w:tc>
        <w:tc>
          <w:tcPr>
            <w:tcW w:w="6257" w:type="dxa"/>
            <w:noWrap w:val="0"/>
            <w:vAlign w:val="top"/>
          </w:tcPr>
          <w:p>
            <w:pPr>
              <w:pStyle w:val="13"/>
              <w:keepNext w:val="0"/>
              <w:keepLines w:val="0"/>
              <w:pageBreakBefore w:val="0"/>
              <w:widowControl w:val="0"/>
              <w:kinsoku/>
              <w:wordWrap/>
              <w:overflowPunct/>
              <w:topLinePunct w:val="0"/>
              <w:autoSpaceDE/>
              <w:autoSpaceDN/>
              <w:bidi w:val="0"/>
              <w:adjustRightInd/>
              <w:snapToGrid/>
              <w:spacing w:line="480" w:lineRule="exact"/>
              <w:ind w:left="210" w:leftChars="0" w:right="198" w:rightChars="0" w:firstLine="684" w:firstLineChars="300"/>
              <w:jc w:val="left"/>
              <w:textAlignment w:val="auto"/>
              <w:rPr>
                <w:spacing w:val="-6"/>
                <w:sz w:val="24"/>
                <w:szCs w:val="24"/>
              </w:rPr>
            </w:pPr>
            <w:r>
              <w:rPr>
                <w:spacing w:val="-6"/>
                <w:sz w:val="24"/>
                <w:szCs w:val="24"/>
              </w:rPr>
              <w:t>日常养护中能够及时落实上级交办事项的，本项不扣分，落实不及时或不达标的，被考核单位所有水系扣 5-10 分。</w:t>
            </w:r>
          </w:p>
        </w:tc>
        <w:tc>
          <w:tcPr>
            <w:tcW w:w="761" w:type="dxa"/>
            <w:noWrap w:val="0"/>
            <w:vAlign w:val="top"/>
          </w:tcPr>
          <w:p>
            <w:pPr>
              <w:pStyle w:val="13"/>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trPr>
        <w:tc>
          <w:tcPr>
            <w:tcW w:w="918" w:type="dxa"/>
            <w:noWrap w:val="0"/>
            <w:vAlign w:val="center"/>
          </w:tcPr>
          <w:p>
            <w:pPr>
              <w:pStyle w:val="13"/>
              <w:spacing w:before="201"/>
              <w:ind w:left="191" w:leftChars="0" w:right="180" w:rightChars="0"/>
              <w:jc w:val="center"/>
              <w:rPr>
                <w:spacing w:val="-6"/>
                <w:sz w:val="24"/>
                <w:szCs w:val="24"/>
              </w:rPr>
            </w:pPr>
            <w:r>
              <w:rPr>
                <w:sz w:val="24"/>
                <w:szCs w:val="24"/>
              </w:rPr>
              <w:t>总分值</w:t>
            </w:r>
          </w:p>
        </w:tc>
        <w:tc>
          <w:tcPr>
            <w:tcW w:w="781" w:type="dxa"/>
            <w:noWrap w:val="0"/>
            <w:vAlign w:val="top"/>
          </w:tcPr>
          <w:p>
            <w:pPr>
              <w:pStyle w:val="13"/>
              <w:spacing w:before="201"/>
              <w:ind w:left="137" w:leftChars="0" w:right="129" w:rightChars="0"/>
              <w:jc w:val="center"/>
              <w:rPr>
                <w:spacing w:val="-6"/>
                <w:sz w:val="24"/>
                <w:szCs w:val="24"/>
              </w:rPr>
            </w:pPr>
            <w:r>
              <w:rPr>
                <w:sz w:val="24"/>
                <w:szCs w:val="24"/>
              </w:rPr>
              <w:t>100</w:t>
            </w:r>
          </w:p>
        </w:tc>
        <w:tc>
          <w:tcPr>
            <w:tcW w:w="6257" w:type="dxa"/>
            <w:noWrap w:val="0"/>
            <w:vAlign w:val="top"/>
          </w:tcPr>
          <w:p>
            <w:pPr>
              <w:pStyle w:val="13"/>
              <w:rPr>
                <w:spacing w:val="-6"/>
                <w:sz w:val="24"/>
                <w:szCs w:val="24"/>
              </w:rPr>
            </w:pPr>
          </w:p>
        </w:tc>
        <w:tc>
          <w:tcPr>
            <w:tcW w:w="761" w:type="dxa"/>
            <w:noWrap w:val="0"/>
            <w:vAlign w:val="top"/>
          </w:tcPr>
          <w:p>
            <w:pPr>
              <w:pStyle w:val="13"/>
              <w:rPr>
                <w:sz w:val="24"/>
                <w:szCs w:val="24"/>
              </w:rPr>
            </w:pPr>
          </w:p>
        </w:tc>
      </w:tr>
    </w:tbl>
    <w:p>
      <w:pPr>
        <w:pStyle w:val="7"/>
        <w:snapToGrid w:val="0"/>
        <w:spacing w:after="0" w:line="360" w:lineRule="auto"/>
        <w:rPr>
          <w:rFonts w:ascii="仿宋" w:hAnsi="仿宋" w:eastAsia="仿宋" w:cs="仿宋"/>
          <w:b/>
          <w:bCs/>
          <w:color w:val="000000"/>
          <w:kern w:val="0"/>
          <w:sz w:val="24"/>
          <w:szCs w:val="24"/>
          <w:lang w:val="en-US" w:eastAsia="zh-CN" w:bidi="ar"/>
        </w:rPr>
      </w:pPr>
    </w:p>
    <w:p>
      <w:pPr>
        <w:pStyle w:val="7"/>
        <w:snapToGrid w:val="0"/>
        <w:spacing w:after="0" w:line="360" w:lineRule="auto"/>
        <w:rPr>
          <w:rFonts w:hint="eastAsia" w:ascii="仿宋" w:hAnsi="仿宋" w:eastAsia="仿宋" w:cs="仿宋"/>
          <w:color w:val="000000"/>
          <w:kern w:val="0"/>
          <w:sz w:val="24"/>
          <w:szCs w:val="24"/>
          <w:lang w:val="en-US" w:eastAsia="zh-CN" w:bidi="ar"/>
        </w:rPr>
      </w:pPr>
      <w:r>
        <w:rPr>
          <w:rFonts w:ascii="仿宋" w:hAnsi="仿宋" w:eastAsia="仿宋" w:cs="仿宋"/>
          <w:b/>
          <w:bCs/>
          <w:color w:val="000000"/>
          <w:kern w:val="0"/>
          <w:sz w:val="24"/>
          <w:szCs w:val="24"/>
          <w:lang w:val="en-US" w:eastAsia="zh-CN" w:bidi="ar"/>
        </w:rPr>
        <w:t>填表说明</w:t>
      </w:r>
      <w:r>
        <w:rPr>
          <w:rFonts w:hint="eastAsia" w:ascii="仿宋" w:hAnsi="仿宋" w:eastAsia="仿宋" w:cs="仿宋"/>
          <w:color w:val="000000"/>
          <w:kern w:val="0"/>
          <w:sz w:val="24"/>
          <w:szCs w:val="24"/>
          <w:lang w:val="en-US" w:eastAsia="zh-CN" w:bidi="ar"/>
        </w:rPr>
        <w:t>：</w:t>
      </w:r>
    </w:p>
    <w:p>
      <w:pPr>
        <w:keepNext w:val="0"/>
        <w:keepLines w:val="0"/>
        <w:widowControl/>
        <w:suppressLineNumbers w:val="0"/>
        <w:jc w:val="left"/>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4"/>
          <w:szCs w:val="24"/>
          <w:lang w:val="en-US" w:eastAsia="zh-CN" w:bidi="ar"/>
        </w:rPr>
        <w:t>考核实行月度考核制，所涉及的三山经济开发区建成区内水系每月按照附表要求进行考核并收集相关资料，为年度考核提供依据。单条水系被市级及以上通报，造成严重后果的，年度考核一票否决，不予支付相关费用。</w:t>
      </w:r>
    </w:p>
    <w:p>
      <w:pPr>
        <w:pStyle w:val="2"/>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br w:type="page"/>
      </w:r>
    </w:p>
    <w:p>
      <w:pPr>
        <w:pStyle w:val="2"/>
        <w:jc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附录：三山经开区水环境治理项目水系治理考核清单</w:t>
      </w:r>
    </w:p>
    <w:tbl>
      <w:tblPr>
        <w:tblStyle w:val="9"/>
        <w:tblW w:w="1023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0"/>
        <w:gridCol w:w="520"/>
        <w:gridCol w:w="1845"/>
        <w:gridCol w:w="1350"/>
        <w:gridCol w:w="1365"/>
        <w:gridCol w:w="1096"/>
        <w:gridCol w:w="1201"/>
        <w:gridCol w:w="856"/>
        <w:gridCol w:w="883"/>
        <w:gridCol w:w="6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4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水系性质</w:t>
            </w:r>
          </w:p>
        </w:tc>
        <w:tc>
          <w:tcPr>
            <w:tcW w:w="1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水系名称</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起点</w:t>
            </w:r>
          </w:p>
        </w:tc>
        <w:tc>
          <w:tcPr>
            <w:tcW w:w="13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终点</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长度（km）</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水域面积（km2）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现状参考水质</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竣工验收要求达到水质标准</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养护期满3年后考核水质标准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w:t>
            </w:r>
          </w:p>
        </w:tc>
        <w:tc>
          <w:tcPr>
            <w:tcW w:w="525"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已治理黑臭水体</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下江坝</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龙窝湖</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12.8</w:t>
            </w:r>
          </w:p>
        </w:tc>
        <w:tc>
          <w:tcPr>
            <w:tcW w:w="0" w:type="auto"/>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2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联群渠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联群村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沿河村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3</w:t>
            </w:r>
          </w:p>
        </w:tc>
        <w:tc>
          <w:tcPr>
            <w:tcW w:w="52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月桥河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双龙口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荷形路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0.043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52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芜繁路明渠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天成路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老山河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0.047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5</w:t>
            </w:r>
          </w:p>
        </w:tc>
        <w:tc>
          <w:tcPr>
            <w:tcW w:w="52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龙塘路明渠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峨桥路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官河路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0.88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0.009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52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保定垃圾站旁明渠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小江堤脚</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三小路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0.001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7</w:t>
            </w:r>
          </w:p>
        </w:tc>
        <w:tc>
          <w:tcPr>
            <w:tcW w:w="52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保定河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铁路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保定河泵站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0.338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2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荷形路明渠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三峨路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峨溪路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9</w:t>
            </w:r>
          </w:p>
        </w:tc>
        <w:tc>
          <w:tcPr>
            <w:tcW w:w="52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黄垅路明渠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莲花湖路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鸭棚路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0.0106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2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水芦沟及支沟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芳甸中路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小江坝</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0.0294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11</w:t>
            </w:r>
          </w:p>
        </w:tc>
        <w:tc>
          <w:tcPr>
            <w:tcW w:w="52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人工湖</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商业街</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拉幕广场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0.45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0.0547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52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油坊沟</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荷形路</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油坊站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0.032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13</w:t>
            </w:r>
          </w:p>
        </w:tc>
        <w:tc>
          <w:tcPr>
            <w:tcW w:w="52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现状水系</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芦滩圩水系</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环湖路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芦滩泵站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5.75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0.142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五联河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老山河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五联泵站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5.67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0.246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15</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龙湖新城内部水系</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奎湖路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资福河路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劣Ⅴ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都督河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峨山西路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长江南路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0.141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17</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老山河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游山泵站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长江南路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3.74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0.125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高岗埠路明渠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金山</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老山河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19</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孙滩主沟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原始娘娘池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孙滩泵站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夏家湖路明渠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疏港路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小江路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0.058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21</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澄江路明渠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海螺港务公司</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莲花湖</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0.075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天成支一沟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天成路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游山泵站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3.35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0.047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23</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渡口路明渠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纬三路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黄垅路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0.016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大朱沟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团洲路至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莲花湖</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0.035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25</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高安河路明渠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长江南路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疏港路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3.78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0.116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裕民路明渠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海螺水泥传送带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高桥河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0.059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27</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长江南路明渠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海螺水泥传送带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高安河路明渠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0.023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谷家河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艺农路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7.75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0.425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29</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南圩河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谷家河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南圩河泵站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0.071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横山河路明渠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象山路明渠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南圩河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0.037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31</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象山路明渠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横山河堤</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横山河路明渠</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0.053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c>
          <w:tcPr>
            <w:tcW w:w="5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南圩河支沟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横山河路、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谷家河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3.94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r>
              <w:rPr>
                <w:rStyle w:val="14"/>
                <w:lang w:val="en-US" w:eastAsia="zh-CN" w:bidi="ar"/>
              </w:rPr>
              <w:t>～劣</w:t>
            </w:r>
            <w:r>
              <w:rPr>
                <w:rStyle w:val="15"/>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99.97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3.5617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6"/>
                <w:szCs w:val="16"/>
                <w:u w:val="none"/>
              </w:rPr>
            </w:pPr>
          </w:p>
        </w:tc>
      </w:tr>
    </w:tbl>
    <w:p>
      <w:pPr>
        <w:pStyle w:val="2"/>
      </w:pPr>
      <w:r>
        <w:rPr>
          <w:rFonts w:hint="eastAsia"/>
          <w:lang w:val="en-US" w:eastAsia="zh-CN"/>
        </w:rPr>
        <w:br w:type="page"/>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bCs/>
          <w:color w:val="auto"/>
          <w:sz w:val="28"/>
          <w:szCs w:val="28"/>
          <w:lang w:val="en-US" w:eastAsia="zh-CN"/>
        </w:rPr>
        <w:t>五</w:t>
      </w:r>
      <w:r>
        <w:rPr>
          <w:rFonts w:hint="eastAsia" w:ascii="宋体" w:hAnsi="Courier New" w:eastAsia="宋体" w:cs="Times New Roman"/>
          <w:b/>
          <w:bCs/>
          <w:color w:val="auto"/>
          <w:sz w:val="28"/>
          <w:szCs w:val="28"/>
          <w:lang w:eastAsia="zh-CN"/>
        </w:rPr>
        <w:t>、</w:t>
      </w:r>
      <w:r>
        <w:rPr>
          <w:rFonts w:hint="eastAsia" w:ascii="宋体" w:hAnsi="Courier New" w:eastAsia="宋体" w:cs="Times New Roman"/>
          <w:b/>
          <w:bCs/>
          <w:color w:val="auto"/>
          <w:sz w:val="28"/>
          <w:szCs w:val="28"/>
          <w:lang w:val="en-US" w:eastAsia="zh-CN"/>
        </w:rPr>
        <w:t>中间支付依据及结算方式</w:t>
      </w:r>
      <w:r>
        <w:rPr>
          <w:rFonts w:hint="eastAsia" w:ascii="宋体" w:hAnsi="Courier New" w:eastAsia="宋体" w:cs="Times New Roman"/>
          <w:b w:val="0"/>
          <w:bCs w:val="0"/>
          <w:sz w:val="21"/>
          <w:szCs w:val="21"/>
          <w:lang w:val="en-US" w:eastAsia="zh-CN"/>
        </w:rPr>
        <w:t>：按照经招标人和中标人确认的工程量清单、综合单价及汇总总价乘以中标人所报费率进行结算（即经招标人和中标人确认的工程量清单、综合单价，计算汇总总价×中标人所报费率）。工程量依据经招标人和中标人确认的施工图纸、设计变更、现场签证、施工方案等据实结算。工程量清单及综合单价按照以下方式进行组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1、执行《安徽省2018建设工程工程量清单计价规范》：《安徽省建设工程工程量清单计价办法》、《安徽省建设工程费用定额》、《安徽省建设工程施工机械台班费用编制规则》、《安徽省建设工程计价定额（共用册）》、《安徽省建筑工程计价定额》、《安徽省装饰装修计价定额》、《安徽省安装计价定额》、《安徽省市政计价定额》、《安徽省园林绿化计价定额》、《安徽省仿古建筑计价定额》,及建标〔2017〕191号等有关文件。计价文件有最新相关政策性调整文件时按最新文件执行。</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2、人工费按照安徽省住建厅公布的项目实施期《安徽省建设人工工资指导价》执行；税金执行造价（2019）7号文《关于调整我省现行建设工程计价依据增值税税率的通知》，按9%计取。</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3、建筑工程材料价按照该笔费用发生当月《芜湖工程造价信息》的信息指导价为准。如 《芜湖工程造价信息》无相应价格的，由业主确定询价方式，按照相关规定询价确定。经询价方式确定的材料价计价组价时不按中标费率打折。</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4、措施费包含总价措施费和单项措施费，按照 2018 版《安徽省建设工程费用定额》的规定计取。</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5、总承包服务费不计。</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Courier New" w:eastAsia="宋体" w:cs="Times New Roman"/>
          <w:b/>
          <w:bCs/>
          <w:color w:val="auto"/>
          <w:sz w:val="28"/>
          <w:szCs w:val="28"/>
          <w:lang w:eastAsia="zh-CN"/>
        </w:rPr>
      </w:pPr>
      <w:r>
        <w:rPr>
          <w:rFonts w:hint="eastAsia" w:ascii="宋体" w:hAnsi="Courier New" w:eastAsia="宋体" w:cs="Times New Roman"/>
          <w:b/>
          <w:bCs/>
          <w:color w:val="auto"/>
          <w:sz w:val="28"/>
          <w:szCs w:val="28"/>
          <w:lang w:eastAsia="zh-CN"/>
        </w:rPr>
        <w:t>六、进度款支付：</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1、本项目无工程预付款；</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2、本项目开工后每月按照</w:t>
      </w:r>
      <w:r>
        <w:rPr>
          <w:rFonts w:hint="eastAsia" w:ascii="宋体" w:hAnsi="Courier New" w:eastAsia="宋体" w:cs="Times New Roman"/>
          <w:b w:val="0"/>
          <w:bCs w:val="0"/>
          <w:sz w:val="21"/>
          <w:szCs w:val="21"/>
          <w:u w:val="single"/>
          <w:lang w:val="en-US" w:eastAsia="zh-CN"/>
        </w:rPr>
        <w:t>经审核的月进度</w:t>
      </w:r>
      <w:r>
        <w:rPr>
          <w:rFonts w:hint="eastAsia" w:ascii="宋体" w:hAnsi="Courier New" w:eastAsia="宋体" w:cs="Times New Roman"/>
          <w:b w:val="0"/>
          <w:bCs w:val="0"/>
          <w:sz w:val="21"/>
          <w:szCs w:val="21"/>
          <w:lang w:val="en-US" w:eastAsia="zh-CN"/>
        </w:rPr>
        <w:t>付款70%，工程竣工经验收合格并经审计审定后支付至</w:t>
      </w:r>
      <w:r>
        <w:rPr>
          <w:rFonts w:hint="eastAsia" w:ascii="宋体" w:hAnsi="Courier New" w:eastAsia="宋体" w:cs="Times New Roman"/>
          <w:b w:val="0"/>
          <w:bCs w:val="0"/>
          <w:sz w:val="21"/>
          <w:szCs w:val="21"/>
          <w:u w:val="single"/>
          <w:lang w:val="en-US" w:eastAsia="zh-CN"/>
        </w:rPr>
        <w:t>经审核</w:t>
      </w:r>
      <w:r>
        <w:rPr>
          <w:rFonts w:hint="eastAsia" w:ascii="宋体" w:hAnsi="Courier New" w:eastAsia="宋体" w:cs="Times New Roman"/>
          <w:b w:val="0"/>
          <w:bCs w:val="0"/>
          <w:color w:val="0000FF"/>
          <w:sz w:val="21"/>
          <w:szCs w:val="21"/>
          <w:u w:val="single"/>
          <w:lang w:val="en-US" w:eastAsia="zh-CN"/>
        </w:rPr>
        <w:t>的审定价</w:t>
      </w:r>
      <w:r>
        <w:rPr>
          <w:rFonts w:hint="eastAsia" w:ascii="宋体" w:hAnsi="Courier New" w:eastAsia="宋体" w:cs="Times New Roman"/>
          <w:b w:val="0"/>
          <w:bCs w:val="0"/>
          <w:color w:val="0000FF"/>
          <w:sz w:val="21"/>
          <w:szCs w:val="21"/>
          <w:lang w:val="en-US" w:eastAsia="zh-CN"/>
        </w:rPr>
        <w:t>85%</w:t>
      </w:r>
      <w:r>
        <w:rPr>
          <w:rFonts w:hint="eastAsia" w:ascii="宋体" w:hAnsi="Courier New" w:eastAsia="宋体" w:cs="Times New Roman"/>
          <w:b w:val="0"/>
          <w:bCs w:val="0"/>
          <w:sz w:val="21"/>
          <w:szCs w:val="21"/>
          <w:lang w:val="en-US" w:eastAsia="zh-CN"/>
        </w:rPr>
        <w:t>；运维期五年，每年运维结束并考核合格后支付审定价余款的20%，至第五年运维结束并考核合格后支付至审定价的100%。（所有款项支付无息）</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Courier New" w:eastAsia="宋体" w:cs="Times New Roman"/>
          <w:b/>
          <w:bCs/>
          <w:sz w:val="21"/>
          <w:szCs w:val="21"/>
          <w:u w:val="single"/>
          <w:lang w:val="en-US" w:eastAsia="zh-CN"/>
        </w:rPr>
      </w:pPr>
      <w:r>
        <w:rPr>
          <w:rFonts w:hint="eastAsia" w:ascii="宋体" w:hAnsi="Courier New" w:eastAsia="宋体" w:cs="Times New Roman"/>
          <w:b/>
          <w:bCs/>
          <w:sz w:val="21"/>
          <w:szCs w:val="21"/>
          <w:u w:val="single"/>
          <w:lang w:val="en-US" w:eastAsia="zh-CN"/>
        </w:rPr>
        <w:t>经审核的月进度是指月进度扣除运维部分，暂按照月进度70%计算。经审核的审定价是指审计审定汇总后扣除运维部分，暂按照审计审定汇总70%计算。</w:t>
      </w:r>
    </w:p>
    <w:p>
      <w:pPr>
        <w:pStyle w:val="2"/>
        <w:numPr>
          <w:ilvl w:val="0"/>
          <w:numId w:val="0"/>
        </w:numPr>
        <w:rPr>
          <w:rFonts w:hint="eastAsia" w:ascii="宋体" w:hAnsi="Courier New" w:eastAsia="宋体" w:cs="Times New Roman"/>
          <w:b/>
          <w:bCs/>
          <w:color w:val="auto"/>
          <w:sz w:val="28"/>
          <w:szCs w:val="28"/>
          <w:lang w:eastAsia="zh-CN"/>
        </w:rPr>
      </w:pPr>
      <w:r>
        <w:rPr>
          <w:rFonts w:hint="eastAsia" w:ascii="宋体" w:hAnsi="Courier New" w:eastAsia="宋体" w:cs="Times New Roman"/>
          <w:b/>
          <w:bCs/>
          <w:color w:val="auto"/>
          <w:sz w:val="28"/>
          <w:szCs w:val="28"/>
          <w:lang w:eastAsia="zh-CN"/>
        </w:rPr>
        <w:t>七、其他</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1、评分办法中所述“完成项目以完（竣）工验收时间为准”中，完工是指工程实体已完成，由业主出具已完工证明或办理了完工</w:t>
      </w:r>
      <w:bookmarkStart w:id="3" w:name="_GoBack"/>
      <w:bookmarkEnd w:id="3"/>
      <w:r>
        <w:rPr>
          <w:rFonts w:hint="eastAsia" w:ascii="宋体" w:hAnsi="Courier New" w:eastAsia="宋体" w:cs="Times New Roman"/>
          <w:b w:val="0"/>
          <w:bCs w:val="0"/>
          <w:sz w:val="21"/>
          <w:szCs w:val="21"/>
          <w:lang w:val="en-US" w:eastAsia="zh-CN"/>
        </w:rPr>
        <w:t>相关程序的证明文件，竣工是指根据相关规定办理了竣工验收证书。</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2、参加本项目投标，投标文件中须提供以下承诺函并加盖投标人公章，并放入其他材料中，承诺函格式如下：</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宋体" w:hAnsi="Courier New" w:eastAsia="宋体" w:cs="Times New Roman"/>
          <w:b w:val="0"/>
          <w:bCs w:val="0"/>
          <w:sz w:val="21"/>
          <w:szCs w:val="21"/>
          <w:lang w:val="en-US" w:eastAsia="zh-CN"/>
        </w:rPr>
        <w:sectPr>
          <w:pgSz w:w="11906" w:h="16838"/>
          <w:pgMar w:top="1418" w:right="1134" w:bottom="1418" w:left="1134" w:header="851" w:footer="992" w:gutter="0"/>
          <w:cols w:space="720" w:num="1"/>
          <w:docGrid w:type="lines" w:linePitch="312" w:charSpace="0"/>
        </w:sect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宋体" w:hAnsi="Courier New" w:eastAsia="宋体" w:cs="Times New Roman"/>
          <w:b w:val="0"/>
          <w:bCs w:val="0"/>
          <w:sz w:val="21"/>
          <w:szCs w:val="21"/>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承诺函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宋体" w:hAnsi="Courier New" w:eastAsia="宋体" w:cs="Times New Roman"/>
          <w:b w:val="0"/>
          <w:bCs w:val="0"/>
          <w:sz w:val="21"/>
          <w:szCs w:val="21"/>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致：（招标人）</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我公司承诺：</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1、中标后10日内即现状接收全部考核水系运维工作任务并自费承担项目实施前、实施中、竣工前全部运维费用的，并保证符合目标水系水质各阶段考核要求，否则自愿承担相应责任。</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2、我公司投标费率已包含竣工后运维费用，不再单独报价及申请支付；费用按照工程支付节点及比例包含在工程款中。</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宋体" w:hAnsi="Courier New" w:eastAsia="宋体" w:cs="Times New Roman"/>
          <w:b w:val="0"/>
          <w:bCs w:val="0"/>
          <w:sz w:val="21"/>
          <w:szCs w:val="21"/>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宋体" w:hAnsi="Courier New" w:eastAsia="宋体" w:cs="Times New Roman"/>
          <w:b w:val="0"/>
          <w:bCs w:val="0"/>
          <w:sz w:val="21"/>
          <w:szCs w:val="21"/>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投标人：（电子签章）</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法定代表人：（电子签章）</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default" w:ascii="宋体" w:hAnsi="Courier New" w:eastAsia="宋体" w:cs="Times New Roman"/>
          <w:b w:val="0"/>
          <w:bCs w:val="0"/>
          <w:sz w:val="21"/>
          <w:szCs w:val="21"/>
          <w:lang w:val="en-US" w:eastAsia="zh-CN"/>
        </w:rPr>
      </w:pPr>
      <w:r>
        <w:rPr>
          <w:rFonts w:hint="eastAsia" w:ascii="宋体" w:hAnsi="Courier New" w:eastAsia="宋体" w:cs="Times New Roman"/>
          <w:b w:val="0"/>
          <w:bCs w:val="0"/>
          <w:sz w:val="21"/>
          <w:szCs w:val="21"/>
          <w:lang w:val="en-US" w:eastAsia="zh-CN"/>
        </w:rPr>
        <w:t>日期：      年  月  日</w:t>
      </w:r>
    </w:p>
    <w:p>
      <w:pPr>
        <w:pStyle w:val="11"/>
        <w:spacing w:line="360" w:lineRule="auto"/>
        <w:rPr>
          <w:rFonts w:hint="eastAsia"/>
          <w:b/>
          <w:color w:val="000000"/>
          <w:szCs w:val="21"/>
          <w:lang w:val="en-US" w:eastAsia="zh-CN"/>
        </w:rPr>
      </w:pPr>
    </w:p>
    <w:p>
      <w:pPr>
        <w:jc w:val="left"/>
        <w:rPr>
          <w:rFonts w:hint="eastAsia" w:ascii="微软雅黑" w:hAnsi="微软雅黑" w:eastAsia="微软雅黑" w:cs="微软雅黑"/>
          <w:b w:val="0"/>
          <w:bCs w:val="0"/>
          <w:color w:val="000000"/>
          <w:sz w:val="24"/>
          <w:szCs w:val="24"/>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1"/>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Helvetica">
    <w:altName w:val="Arial"/>
    <w:panose1 w:val="00000000000000000000"/>
    <w:charset w:val="00"/>
    <w:family w:val="auto"/>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84924D"/>
    <w:multiLevelType w:val="singleLevel"/>
    <w:tmpl w:val="A084924D"/>
    <w:lvl w:ilvl="0" w:tentative="0">
      <w:start w:val="1"/>
      <w:numFmt w:val="decimal"/>
      <w:suff w:val="nothing"/>
      <w:lvlText w:val="%1、"/>
      <w:lvlJc w:val="left"/>
    </w:lvl>
  </w:abstractNum>
  <w:abstractNum w:abstractNumId="1">
    <w:nsid w:val="CB4B674B"/>
    <w:multiLevelType w:val="singleLevel"/>
    <w:tmpl w:val="CB4B674B"/>
    <w:lvl w:ilvl="0" w:tentative="0">
      <w:start w:val="2"/>
      <w:numFmt w:val="decimal"/>
      <w:suff w:val="nothing"/>
      <w:lvlText w:val="（%1）"/>
      <w:lvlJc w:val="left"/>
      <w:pPr>
        <w:ind w:left="70"/>
      </w:pPr>
    </w:lvl>
  </w:abstractNum>
  <w:abstractNum w:abstractNumId="2">
    <w:nsid w:val="1E1AB661"/>
    <w:multiLevelType w:val="singleLevel"/>
    <w:tmpl w:val="1E1AB661"/>
    <w:lvl w:ilvl="0" w:tentative="0">
      <w:start w:val="1"/>
      <w:numFmt w:val="decimal"/>
      <w:suff w:val="nothing"/>
      <w:lvlText w:val="%1、"/>
      <w:lvlJc w:val="left"/>
      <w:pPr>
        <w:ind w:left="-48"/>
      </w:pPr>
    </w:lvl>
  </w:abstractNum>
  <w:abstractNum w:abstractNumId="3">
    <w:nsid w:val="2D90E75D"/>
    <w:multiLevelType w:val="singleLevel"/>
    <w:tmpl w:val="2D90E75D"/>
    <w:lvl w:ilvl="0" w:tentative="0">
      <w:start w:val="2"/>
      <w:numFmt w:val="decimal"/>
      <w:suff w:val="nothing"/>
      <w:lvlText w:val="%1、"/>
      <w:lvlJc w:val="left"/>
    </w:lvl>
  </w:abstractNum>
  <w:abstractNum w:abstractNumId="4">
    <w:nsid w:val="5794DF2B"/>
    <w:multiLevelType w:val="singleLevel"/>
    <w:tmpl w:val="5794DF2B"/>
    <w:lvl w:ilvl="0" w:tentative="0">
      <w:start w:val="3"/>
      <w:numFmt w:val="chineseCounting"/>
      <w:suff w:val="nothing"/>
      <w:lvlText w:val="%1、"/>
      <w:lvlJc w:val="left"/>
      <w:rPr>
        <w:rFonts w:hint="eastAsia"/>
      </w:rPr>
    </w:lvl>
  </w:abstractNum>
  <w:abstractNum w:abstractNumId="5">
    <w:nsid w:val="5A9407E0"/>
    <w:multiLevelType w:val="singleLevel"/>
    <w:tmpl w:val="5A9407E0"/>
    <w:lvl w:ilvl="0" w:tentative="0">
      <w:start w:val="2"/>
      <w:numFmt w:val="decimal"/>
      <w:suff w:val="nothing"/>
      <w:lvlText w:val="%1、"/>
      <w:lvlJc w:val="left"/>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yMDI5ZWQ0NzlkYmE5ZTIzZGU5ZWI4ZTY0MTdjZGEifQ=="/>
  </w:docVars>
  <w:rsids>
    <w:rsidRoot w:val="608C2EA4"/>
    <w:rsid w:val="02D31E74"/>
    <w:rsid w:val="608C2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360" w:lineRule="auto"/>
      <w:outlineLvl w:val="0"/>
    </w:pPr>
    <w:rPr>
      <w:rFonts w:ascii="Times New Roman" w:hAnsi="Times New Roman"/>
      <w:b/>
      <w:bCs/>
      <w:kern w:val="44"/>
      <w:sz w:val="32"/>
      <w:szCs w:val="44"/>
    </w:rPr>
  </w:style>
  <w:style w:type="paragraph" w:styleId="4">
    <w:name w:val="heading 3"/>
    <w:basedOn w:val="1"/>
    <w:next w:val="1"/>
    <w:qFormat/>
    <w:uiPriority w:val="0"/>
    <w:pPr>
      <w:keepNext/>
      <w:keepLines/>
      <w:spacing w:line="360" w:lineRule="auto"/>
      <w:outlineLvl w:val="2"/>
    </w:pPr>
    <w:rPr>
      <w:rFonts w:ascii="Times New Roman" w:hAnsi="Times New Roman"/>
      <w:b/>
      <w:bCs/>
      <w:kern w:val="0"/>
      <w:sz w:val="24"/>
      <w:szCs w:val="32"/>
    </w:rPr>
  </w:style>
  <w:style w:type="paragraph" w:styleId="5">
    <w:name w:val="heading 4"/>
    <w:basedOn w:val="1"/>
    <w:next w:val="1"/>
    <w:qFormat/>
    <w:uiPriority w:val="0"/>
    <w:pPr>
      <w:keepNext/>
      <w:keepLines/>
      <w:spacing w:line="360" w:lineRule="auto"/>
      <w:outlineLvl w:val="3"/>
    </w:pPr>
    <w:rPr>
      <w:rFonts w:ascii="Arial" w:hAnsi="Arial"/>
      <w:b/>
      <w:bCs/>
      <w:kern w:val="0"/>
      <w:sz w:val="20"/>
      <w:szCs w:val="28"/>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2">
    <w:name w:val="Plain Text"/>
    <w:basedOn w:val="1"/>
    <w:unhideWhenUsed/>
    <w:qFormat/>
    <w:uiPriority w:val="99"/>
    <w:rPr>
      <w:rFonts w:ascii="宋体" w:hAnsi="Courier New"/>
      <w:szCs w:val="21"/>
    </w:rPr>
  </w:style>
  <w:style w:type="paragraph" w:styleId="6">
    <w:name w:val="Normal Indent"/>
    <w:basedOn w:val="1"/>
    <w:qFormat/>
    <w:uiPriority w:val="0"/>
    <w:pPr>
      <w:ind w:firstLine="420"/>
    </w:pPr>
    <w:rPr>
      <w:rFonts w:ascii="幼圆" w:eastAsia="幼圆"/>
      <w:sz w:val="24"/>
      <w:szCs w:val="20"/>
    </w:rPr>
  </w:style>
  <w:style w:type="paragraph" w:styleId="7">
    <w:name w:val="Body Text"/>
    <w:basedOn w:val="1"/>
    <w:next w:val="8"/>
    <w:qFormat/>
    <w:uiPriority w:val="0"/>
    <w:pPr>
      <w:spacing w:after="120"/>
    </w:pPr>
    <w:rPr>
      <w:rFonts w:ascii="Calibri" w:hAnsi="Calibri" w:eastAsia="宋体" w:cs="Times New Roman"/>
    </w:rPr>
  </w:style>
  <w:style w:type="paragraph" w:customStyle="1" w:styleId="8">
    <w:name w:val="_Style 2"/>
    <w:basedOn w:val="1"/>
    <w:next w:val="1"/>
    <w:qFormat/>
    <w:uiPriority w:val="0"/>
    <w:pPr>
      <w:ind w:firstLine="420" w:firstLineChars="200"/>
    </w:pPr>
    <w:rPr>
      <w:rFonts w:ascii="Times New Roman" w:hAnsi="Times New Roman"/>
    </w:rPr>
  </w:style>
  <w:style w:type="paragraph" w:customStyle="1" w:styleId="11">
    <w:name w:val="正文_2_0"/>
    <w:qFormat/>
    <w:uiPriority w:val="0"/>
    <w:pPr>
      <w:widowControl w:val="0"/>
      <w:jc w:val="both"/>
    </w:pPr>
    <w:rPr>
      <w:rFonts w:ascii="Calibri" w:hAnsi="Calibri" w:eastAsia="宋体" w:cs="Times New Roman"/>
      <w:kern w:val="2"/>
      <w:sz w:val="21"/>
      <w:szCs w:val="22"/>
      <w:lang w:val="en-US" w:eastAsia="zh-CN" w:bidi="ar-SA"/>
    </w:rPr>
  </w:style>
  <w:style w:type="table" w:customStyle="1" w:styleId="12">
    <w:name w:val="Table Normal"/>
    <w:unhideWhenUsed/>
    <w:qFormat/>
    <w:uiPriority w:val="0"/>
    <w:tblPr>
      <w:tblCellMar>
        <w:top w:w="0" w:type="dxa"/>
        <w:left w:w="0" w:type="dxa"/>
        <w:bottom w:w="0" w:type="dxa"/>
        <w:right w:w="0" w:type="dxa"/>
      </w:tblCellMar>
    </w:tblPr>
  </w:style>
  <w:style w:type="paragraph" w:customStyle="1" w:styleId="13">
    <w:name w:val="Table Paragraph"/>
    <w:basedOn w:val="1"/>
    <w:qFormat/>
    <w:uiPriority w:val="1"/>
    <w:rPr>
      <w:rFonts w:ascii="仿宋" w:hAnsi="仿宋" w:eastAsia="仿宋" w:cs="仿宋"/>
    </w:rPr>
  </w:style>
  <w:style w:type="character" w:customStyle="1" w:styleId="14">
    <w:name w:val="font51"/>
    <w:basedOn w:val="10"/>
    <w:qFormat/>
    <w:uiPriority w:val="0"/>
    <w:rPr>
      <w:rFonts w:ascii="仿宋" w:hAnsi="仿宋" w:eastAsia="仿宋" w:cs="仿宋"/>
      <w:color w:val="000000"/>
      <w:sz w:val="16"/>
      <w:szCs w:val="16"/>
      <w:u w:val="none"/>
    </w:rPr>
  </w:style>
  <w:style w:type="character" w:customStyle="1" w:styleId="15">
    <w:name w:val="font21"/>
    <w:basedOn w:val="10"/>
    <w:qFormat/>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853</Words>
  <Characters>882</Characters>
  <Lines>0</Lines>
  <Paragraphs>0</Paragraphs>
  <TotalTime>0</TotalTime>
  <ScaleCrop>false</ScaleCrop>
  <LinksUpToDate>false</LinksUpToDate>
  <CharactersWithSpaces>939</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2022-07-04T06:59:00Z</dcterms:created>
  <dc:creator>潘立恒</dc:creator>
  <cp:lastModifiedBy>潘立恒</cp:lastModifiedBy>
  <dcterms:modified xsi:type="dcterms:W3CDTF">2022-07-04T07:03:29Z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73B70B1AC9454A2BB90BB8D9874F62BC</vt:lpwstr>
  </property>
</Properties>
</file>