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rPr>
        <w:t>第</w:t>
      </w:r>
      <w:r>
        <w:rPr>
          <w:rFonts w:hint="eastAsia" w:ascii="宋体" w:hAnsi="宋体" w:eastAsia="宋体" w:cs="宋体"/>
          <w:color w:val="000000"/>
          <w:highlight w:val="none"/>
          <w:lang w:eastAsia="zh-CN"/>
        </w:rPr>
        <w:t>三</w:t>
      </w:r>
      <w:r>
        <w:rPr>
          <w:rFonts w:hint="eastAsia" w:ascii="宋体" w:hAnsi="宋体" w:eastAsia="宋体" w:cs="宋体"/>
          <w:color w:val="000000"/>
          <w:highlight w:val="none"/>
        </w:rPr>
        <w:t>章</w:t>
      </w:r>
      <w:r>
        <w:rPr>
          <w:rFonts w:hint="eastAsia" w:ascii="宋体" w:hAnsi="宋体" w:eastAsia="宋体" w:cs="宋体"/>
          <w:color w:val="000000"/>
          <w:highlight w:val="none"/>
          <w:lang w:eastAsia="zh-CN"/>
        </w:rPr>
        <w:t>采购需求</w:t>
      </w:r>
    </w:p>
    <w:p>
      <w:pPr>
        <w:pStyle w:val="6"/>
        <w:spacing w:before="3"/>
        <w:rPr>
          <w:rFonts w:ascii="Microsoft JhengHei"/>
          <w:b/>
          <w:color w:val="000000"/>
          <w:sz w:val="23"/>
          <w:highlight w:val="none"/>
        </w:rPr>
      </w:pPr>
      <w:bookmarkStart w:id="0" w:name="_bookmark135"/>
      <w:bookmarkEnd w:id="0"/>
      <w:bookmarkStart w:id="1" w:name="_bookmark104"/>
      <w:bookmarkEnd w:id="1"/>
      <w:bookmarkStart w:id="2" w:name="_bookmark103"/>
      <w:bookmarkEnd w:id="2"/>
      <w:bookmarkStart w:id="3" w:name="_bookmark134"/>
      <w:bookmarkEnd w:id="3"/>
      <w:bookmarkStart w:id="4" w:name="_bookmark138"/>
      <w:bookmarkEnd w:id="4"/>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备注：</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1.以下《采购需求说明》及《采购需求一览表》所列内容为</w:t>
      </w:r>
      <w:r>
        <w:rPr>
          <w:rFonts w:hint="eastAsia"/>
          <w:color w:val="000000"/>
          <w:sz w:val="21"/>
          <w:szCs w:val="21"/>
          <w:highlight w:val="none"/>
          <w:lang w:eastAsia="zh-CN"/>
        </w:rPr>
        <w:t>招标人</w:t>
      </w:r>
      <w:r>
        <w:rPr>
          <w:rFonts w:hint="eastAsia" w:ascii="宋体" w:hAnsi="宋体"/>
          <w:color w:val="000000"/>
          <w:sz w:val="21"/>
          <w:szCs w:val="21"/>
          <w:highlight w:val="none"/>
        </w:rPr>
        <w:t>所提采购需求</w:t>
      </w:r>
      <w:r>
        <w:rPr>
          <w:rFonts w:hint="eastAsia" w:ascii="宋体" w:hAnsi="宋体"/>
          <w:color w:val="000000"/>
          <w:sz w:val="21"/>
          <w:szCs w:val="21"/>
          <w:highlight w:val="none"/>
          <w:lang w:eastAsia="zh-CN"/>
        </w:rPr>
        <w:t>，投标人</w:t>
      </w:r>
      <w:r>
        <w:rPr>
          <w:rFonts w:hint="eastAsia" w:ascii="宋体" w:hAnsi="宋体"/>
          <w:color w:val="000000"/>
          <w:sz w:val="21"/>
          <w:szCs w:val="21"/>
          <w:highlight w:val="none"/>
        </w:rPr>
        <w:t>应认真仔细研究，投标时应慎重选择相应的产品及技术参数、规格型号等进行投标。</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FF0000"/>
          <w:sz w:val="21"/>
          <w:szCs w:val="21"/>
          <w:highlight w:val="none"/>
        </w:rPr>
        <w:t>本章中标注“*”的参数为实质性参数，</w:t>
      </w:r>
      <w:r>
        <w:rPr>
          <w:rFonts w:hint="eastAsia" w:ascii="宋体" w:hAnsi="宋体"/>
          <w:color w:val="FF0000"/>
          <w:sz w:val="21"/>
          <w:szCs w:val="21"/>
          <w:highlight w:val="none"/>
          <w:lang w:val="en-US" w:eastAsia="zh-CN"/>
        </w:rPr>
        <w:t>投标人</w:t>
      </w:r>
      <w:r>
        <w:rPr>
          <w:rFonts w:hint="eastAsia" w:ascii="宋体" w:hAnsi="宋体"/>
          <w:color w:val="FF0000"/>
          <w:sz w:val="21"/>
          <w:szCs w:val="21"/>
          <w:highlight w:val="none"/>
        </w:rPr>
        <w:t>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本章中标注“▲”的产品为主要标的（包括核心产品）。</w:t>
      </w:r>
      <w:r>
        <w:rPr>
          <w:rFonts w:hint="eastAsia" w:ascii="宋体" w:hAnsi="宋体"/>
          <w:color w:val="000000"/>
          <w:sz w:val="21"/>
          <w:szCs w:val="21"/>
          <w:highlight w:val="none"/>
          <w:lang w:val="en-US" w:eastAsia="zh-CN"/>
        </w:rPr>
        <w:t>招标</w:t>
      </w:r>
      <w:r>
        <w:rPr>
          <w:rFonts w:hint="eastAsia" w:ascii="宋体" w:hAnsi="宋体"/>
          <w:color w:val="000000"/>
          <w:sz w:val="21"/>
          <w:szCs w:val="21"/>
          <w:highlight w:val="none"/>
        </w:rPr>
        <w:t>人（代理机构）在编制招标文件时必须将采购的主要标的（包括核心产品）标注“▲”。</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.投标报价包括采购、运输、人工、安装、售后、验收、税费等所有费用。</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.本项目招标文件</w:t>
      </w:r>
      <w:r>
        <w:rPr>
          <w:rFonts w:hint="eastAsia" w:ascii="宋体" w:hAnsi="宋体"/>
          <w:color w:val="000000"/>
          <w:sz w:val="21"/>
          <w:szCs w:val="21"/>
          <w:highlight w:val="none"/>
          <w:lang w:eastAsia="zh-CN"/>
        </w:rPr>
        <w:t>中</w:t>
      </w:r>
      <w:r>
        <w:rPr>
          <w:rFonts w:hint="eastAsia" w:ascii="宋体" w:hAnsi="宋体"/>
          <w:color w:val="000000"/>
          <w:sz w:val="21"/>
          <w:szCs w:val="21"/>
          <w:highlight w:val="none"/>
        </w:rPr>
        <w:t xml:space="preserve"> “投标文件格式”中内容应根据项目需要和评标办法规定填写；如不需要，则填写无。</w:t>
      </w:r>
    </w:p>
    <w:p>
      <w:pPr>
        <w:pStyle w:val="11"/>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中标人</w:t>
      </w:r>
      <w:r>
        <w:rPr>
          <w:rFonts w:hint="eastAsia" w:ascii="宋体" w:hAnsi="宋体"/>
          <w:color w:val="000000"/>
          <w:sz w:val="21"/>
          <w:szCs w:val="21"/>
          <w:highlight w:val="none"/>
        </w:rPr>
        <w:t>和</w:t>
      </w:r>
      <w:r>
        <w:rPr>
          <w:rFonts w:hint="eastAsia"/>
          <w:color w:val="000000"/>
          <w:sz w:val="21"/>
          <w:szCs w:val="21"/>
          <w:highlight w:val="none"/>
          <w:lang w:eastAsia="zh-CN"/>
        </w:rPr>
        <w:t>招标人</w:t>
      </w:r>
      <w:r>
        <w:rPr>
          <w:rFonts w:hint="eastAsia" w:ascii="宋体" w:hAnsi="宋体"/>
          <w:color w:val="000000"/>
          <w:sz w:val="21"/>
          <w:szCs w:val="21"/>
          <w:highlight w:val="none"/>
        </w:rPr>
        <w:t>签订的合同应与招标文件中的采购合同一致，不得另行签订与采购合同相背离的其他合同。</w:t>
      </w:r>
    </w:p>
    <w:p>
      <w:pPr>
        <w:pStyle w:val="2"/>
        <w:ind w:left="0" w:leftChars="0" w:firstLine="0" w:firstLineChars="0"/>
        <w:rPr>
          <w:rFonts w:hint="eastAsia" w:ascii="宋体" w:hAnsi="宋体"/>
          <w:b/>
          <w:color w:val="000000"/>
          <w:sz w:val="28"/>
          <w:szCs w:val="28"/>
          <w:highlight w:val="none"/>
        </w:rPr>
      </w:pPr>
    </w:p>
    <w:p>
      <w:pPr>
        <w:rPr>
          <w:rFonts w:hint="eastAsia"/>
        </w:rPr>
      </w:pPr>
    </w:p>
    <w:p>
      <w:pPr>
        <w:spacing w:line="360" w:lineRule="auto"/>
        <w:jc w:val="center"/>
        <w:rPr>
          <w:rFonts w:hint="eastAsia" w:ascii="宋体" w:hAnsi="宋体"/>
          <w:b/>
          <w:color w:val="000000"/>
          <w:sz w:val="28"/>
          <w:szCs w:val="28"/>
          <w:highlight w:val="none"/>
        </w:rPr>
      </w:pPr>
      <w:r>
        <w:rPr>
          <w:rFonts w:hint="eastAsia" w:ascii="宋体" w:hAnsi="宋体"/>
          <w:b/>
          <w:color w:val="000000"/>
          <w:sz w:val="28"/>
          <w:szCs w:val="28"/>
          <w:highlight w:val="none"/>
        </w:rPr>
        <w:t>采购需求说明</w:t>
      </w:r>
    </w:p>
    <w:p>
      <w:pPr>
        <w:spacing w:line="360" w:lineRule="auto"/>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一、其他要求</w:t>
      </w:r>
    </w:p>
    <w:p>
      <w:pPr>
        <w:pStyle w:val="7"/>
        <w:spacing w:line="360" w:lineRule="auto"/>
        <w:ind w:left="0" w:leftChars="0"/>
        <w:rPr>
          <w:rFonts w:hint="eastAsia" w:ascii="仿宋" w:hAnsi="仿宋" w:eastAsia="仿宋"/>
          <w:b/>
          <w:bCs/>
          <w:sz w:val="24"/>
        </w:rPr>
      </w:pPr>
      <w:r>
        <w:rPr>
          <w:rFonts w:hint="eastAsia" w:ascii="仿宋" w:hAnsi="仿宋" w:eastAsia="仿宋"/>
          <w:b/>
          <w:bCs/>
          <w:sz w:val="24"/>
          <w:lang w:val="en-US"/>
        </w:rPr>
        <w:t>*1.</w:t>
      </w:r>
      <w:r>
        <w:rPr>
          <w:rFonts w:hint="eastAsia" w:ascii="仿宋" w:hAnsi="仿宋" w:eastAsia="仿宋"/>
          <w:b/>
          <w:bCs/>
          <w:sz w:val="24"/>
        </w:rPr>
        <w:t>投标产品或其生产（或经营）纳入备案管理时，须在投标（响应）文件中提供备案证明材料或者承诺函。如投标（响应）文件中未提供备案证明材料，应提供承诺函，承诺在合同签订前具有相应的生产（或经营）、所投产品的备案证明材料。《免于经营备案的第二类医疗器械产品目录》中的产品可不提供备案证明材料或者承诺函。</w:t>
      </w:r>
    </w:p>
    <w:p>
      <w:pPr>
        <w:spacing w:line="360" w:lineRule="auto"/>
        <w:rPr>
          <w:rFonts w:hint="eastAsia" w:ascii="仿宋" w:hAnsi="仿宋" w:eastAsia="仿宋"/>
          <w:sz w:val="24"/>
          <w:szCs w:val="24"/>
          <w:lang w:val="en-US"/>
        </w:rPr>
      </w:pPr>
      <w:r>
        <w:rPr>
          <w:rFonts w:hint="eastAsia" w:ascii="仿宋" w:hAnsi="仿宋" w:eastAsia="仿宋"/>
          <w:sz w:val="24"/>
          <w:szCs w:val="24"/>
          <w:lang w:val="en-US" w:eastAsia="zh-CN"/>
        </w:rPr>
        <w:t>2</w:t>
      </w:r>
      <w:r>
        <w:rPr>
          <w:rFonts w:hint="eastAsia" w:ascii="仿宋" w:hAnsi="仿宋" w:eastAsia="仿宋"/>
          <w:sz w:val="24"/>
          <w:szCs w:val="24"/>
          <w:lang w:val="en-US"/>
        </w:rPr>
        <w:t>、具体采购数量由招标人按计划分批次进行采购。招标人有权按实际需要调整采购量，但原则上年采购数量不超过招标数量。本次招标服务期限为3年。不得变更合同签约供应商。(具体在合同中约定）。</w:t>
      </w:r>
    </w:p>
    <w:p>
      <w:pPr>
        <w:spacing w:line="360" w:lineRule="auto"/>
        <w:rPr>
          <w:rFonts w:hint="eastAsia" w:ascii="仿宋" w:hAnsi="仿宋" w:eastAsia="仿宋"/>
          <w:b/>
          <w:bCs/>
          <w:sz w:val="24"/>
          <w:szCs w:val="24"/>
          <w:lang w:val="en-US"/>
        </w:rPr>
      </w:pPr>
      <w:r>
        <w:rPr>
          <w:rFonts w:hint="eastAsia" w:ascii="仿宋" w:hAnsi="仿宋" w:eastAsia="仿宋"/>
          <w:b/>
          <w:bCs/>
          <w:sz w:val="24"/>
          <w:szCs w:val="24"/>
          <w:lang w:val="en-US" w:eastAsia="zh-CN"/>
        </w:rPr>
        <w:t>*3</w:t>
      </w:r>
      <w:r>
        <w:rPr>
          <w:rFonts w:hint="eastAsia" w:ascii="仿宋" w:hAnsi="仿宋" w:eastAsia="仿宋"/>
          <w:b/>
          <w:bCs/>
          <w:sz w:val="24"/>
          <w:szCs w:val="24"/>
          <w:lang w:val="en-US"/>
        </w:rPr>
        <w:t>、产品中标后由业主指定配送商集中配送,投标价含配送费（需缴纳配送费</w:t>
      </w:r>
      <w:r>
        <w:rPr>
          <w:rFonts w:hint="eastAsia" w:ascii="仿宋" w:hAnsi="仿宋" w:eastAsia="仿宋"/>
          <w:b/>
          <w:bCs/>
          <w:sz w:val="24"/>
          <w:szCs w:val="24"/>
          <w:lang w:val="en-US" w:eastAsia="zh-CN"/>
        </w:rPr>
        <w:t>3.95</w:t>
      </w:r>
      <w:r>
        <w:rPr>
          <w:rFonts w:hint="eastAsia" w:ascii="仿宋" w:hAnsi="仿宋" w:eastAsia="仿宋"/>
          <w:b/>
          <w:bCs/>
          <w:sz w:val="24"/>
          <w:szCs w:val="24"/>
          <w:lang w:val="en-US"/>
        </w:rPr>
        <w:t>%）。</w:t>
      </w:r>
      <w:r>
        <w:rPr>
          <w:rFonts w:hint="eastAsia" w:ascii="仿宋" w:hAnsi="仿宋" w:eastAsia="仿宋"/>
          <w:b/>
          <w:bCs/>
          <w:sz w:val="24"/>
          <w:szCs w:val="24"/>
          <w:lang w:val="en-US" w:eastAsia="zh-CN"/>
        </w:rPr>
        <w:t>（投标人提供承诺函并加盖公章）</w:t>
      </w:r>
    </w:p>
    <w:p>
      <w:pPr>
        <w:spacing w:line="360" w:lineRule="auto"/>
        <w:rPr>
          <w:rFonts w:hint="eastAsia" w:ascii="仿宋" w:hAnsi="仿宋" w:eastAsia="仿宋"/>
          <w:sz w:val="24"/>
          <w:szCs w:val="24"/>
          <w:lang w:val="en-US"/>
        </w:rPr>
      </w:pPr>
      <w:r>
        <w:rPr>
          <w:rFonts w:hint="eastAsia" w:ascii="仿宋" w:hAnsi="仿宋" w:eastAsia="仿宋"/>
          <w:sz w:val="24"/>
          <w:szCs w:val="24"/>
          <w:lang w:val="en-US" w:eastAsia="zh-CN"/>
        </w:rPr>
        <w:t>4</w:t>
      </w:r>
      <w:r>
        <w:rPr>
          <w:rFonts w:hint="eastAsia" w:ascii="仿宋" w:hAnsi="仿宋" w:eastAsia="仿宋"/>
          <w:sz w:val="24"/>
          <w:szCs w:val="24"/>
          <w:lang w:val="en-US"/>
        </w:rPr>
        <w:t>、如发现未实质性响应招标文件供货，则扣除3个月货款做为违约金，并终止合约。如在供货期内出现质量问题则立即终止合约，供应商承担相应的赔偿责任(具体在合同中约定）。</w:t>
      </w:r>
    </w:p>
    <w:p>
      <w:pPr>
        <w:spacing w:line="360" w:lineRule="auto"/>
        <w:rPr>
          <w:rFonts w:hint="eastAsia" w:ascii="仿宋" w:hAnsi="仿宋" w:eastAsia="仿宋"/>
          <w:sz w:val="24"/>
          <w:szCs w:val="24"/>
          <w:lang w:val="en-US"/>
        </w:rPr>
      </w:pPr>
      <w:r>
        <w:rPr>
          <w:rFonts w:hint="eastAsia" w:ascii="仿宋" w:hAnsi="仿宋" w:eastAsia="仿宋"/>
          <w:sz w:val="24"/>
          <w:szCs w:val="24"/>
          <w:lang w:val="en-US" w:eastAsia="zh-CN"/>
        </w:rPr>
        <w:t>5</w:t>
      </w:r>
      <w:r>
        <w:rPr>
          <w:rFonts w:hint="eastAsia" w:ascii="仿宋" w:hAnsi="仿宋" w:eastAsia="仿宋"/>
          <w:sz w:val="24"/>
          <w:szCs w:val="24"/>
          <w:lang w:val="en-US"/>
        </w:rPr>
        <w:t>、符合市场局检测相关要求，产品因产品本身质量问题或售后服务不当引起的医疗事故、医疗纠纷或其他原因造成贵院任何损失，本公司全部承担事故处理及责任赔偿等相应的责任。</w:t>
      </w:r>
    </w:p>
    <w:p>
      <w:pPr>
        <w:spacing w:line="360" w:lineRule="auto"/>
        <w:rPr>
          <w:rFonts w:hint="eastAsia" w:ascii="仿宋" w:hAnsi="仿宋" w:eastAsia="仿宋"/>
          <w:sz w:val="24"/>
          <w:szCs w:val="24"/>
          <w:lang w:val="en-US"/>
        </w:rPr>
      </w:pPr>
    </w:p>
    <w:p>
      <w:pPr>
        <w:spacing w:line="360" w:lineRule="auto"/>
        <w:rPr>
          <w:rFonts w:hint="eastAsia" w:ascii="仿宋" w:hAnsi="仿宋" w:eastAsia="仿宋" w:cs="仿宋"/>
          <w:sz w:val="24"/>
          <w:szCs w:val="24"/>
          <w:lang w:val="en-US"/>
        </w:rPr>
      </w:pPr>
      <w:r>
        <w:rPr>
          <w:rFonts w:hint="eastAsia" w:ascii="仿宋" w:hAnsi="仿宋" w:eastAsia="仿宋" w:cs="仿宋"/>
          <w:sz w:val="24"/>
          <w:szCs w:val="24"/>
          <w:lang w:val="en-US"/>
        </w:rPr>
        <w:t>二、产品参数</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1、测定项目：活化凝血（普通杯）检测，凝血激活（快速杯）检测，肝素（肝素对比实验）检测，功能性纤维蛋白原检测，血小板-AA 及 ADP 检测，血小板-AA检测，血小板-ADP检测。按需配套（满足实验室日常需求）取得注册证的高、低全套质控品。</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rPr>
        <w:t>需</w:t>
      </w:r>
      <w:r>
        <w:rPr>
          <w:rFonts w:hint="eastAsia" w:ascii="仿宋" w:hAnsi="仿宋" w:eastAsia="仿宋" w:cs="仿宋"/>
          <w:sz w:val="24"/>
          <w:szCs w:val="24"/>
          <w:lang w:eastAsia="zh-CN"/>
        </w:rPr>
        <w:t>提供</w:t>
      </w:r>
      <w:r>
        <w:rPr>
          <w:rFonts w:hint="eastAsia" w:ascii="仿宋" w:hAnsi="仿宋" w:eastAsia="仿宋" w:cs="仿宋"/>
          <w:sz w:val="24"/>
          <w:szCs w:val="24"/>
        </w:rPr>
        <w:t>全自动设备一台。其全自动血栓弹力图检测设备</w:t>
      </w:r>
      <w:r>
        <w:rPr>
          <w:rFonts w:hint="eastAsia" w:ascii="仿宋" w:hAnsi="仿宋" w:eastAsia="仿宋" w:cs="仿宋"/>
          <w:sz w:val="24"/>
          <w:szCs w:val="24"/>
          <w:lang w:eastAsia="zh-CN"/>
        </w:rPr>
        <w:t>的</w:t>
      </w:r>
      <w:r>
        <w:rPr>
          <w:rFonts w:hint="eastAsia" w:ascii="仿宋" w:hAnsi="仿宋" w:eastAsia="仿宋" w:cs="仿宋"/>
          <w:sz w:val="24"/>
          <w:szCs w:val="24"/>
        </w:rPr>
        <w:t>参数</w:t>
      </w:r>
      <w:r>
        <w:rPr>
          <w:rFonts w:hint="eastAsia" w:ascii="仿宋" w:hAnsi="仿宋" w:eastAsia="仿宋" w:cs="仿宋"/>
          <w:sz w:val="24"/>
          <w:szCs w:val="24"/>
          <w:lang w:eastAsia="zh-CN"/>
        </w:rPr>
        <w:t>如下</w:t>
      </w:r>
      <w:r>
        <w:rPr>
          <w:rFonts w:hint="eastAsia" w:ascii="仿宋" w:hAnsi="仿宋" w:eastAsia="仿宋" w:cs="仿宋"/>
          <w:sz w:val="24"/>
          <w:szCs w:val="24"/>
        </w:rPr>
        <w:t>：</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自动血栓弹力图仪</w:t>
      </w:r>
      <w:r>
        <w:rPr>
          <w:rFonts w:hint="eastAsia" w:ascii="仿宋" w:hAnsi="仿宋" w:eastAsia="仿宋" w:cs="仿宋"/>
          <w:sz w:val="24"/>
          <w:szCs w:val="24"/>
          <w:lang w:eastAsia="zh-CN"/>
        </w:rPr>
        <w:t>的检测能力及自动化程度</w:t>
      </w:r>
      <w:r>
        <w:rPr>
          <w:rFonts w:hint="eastAsia" w:ascii="仿宋" w:hAnsi="仿宋" w:eastAsia="仿宋" w:cs="仿宋"/>
          <w:sz w:val="24"/>
          <w:szCs w:val="24"/>
        </w:rPr>
        <w:t>：</w:t>
      </w:r>
    </w:p>
    <w:p>
      <w:pPr>
        <w:pStyle w:val="7"/>
        <w:spacing w:line="360" w:lineRule="auto"/>
        <w:ind w:left="0" w:leftChars="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检测通道≧8个，各通道可独立运行，能支持随时串联设备者优先，提供的检测设备平台能满足4小时内完成日常标本检测（预计不超过50个/日），后期如标本量增加明显，须按需增加全自动血栓弹力图仪数量保证4小时内完成标本检测。</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全自动功能：所有分析过程（包括样本和试剂的加注、相互反应、化学和生物分析、结果计算和结果读出）都实施了自动化的血栓弹力图仪，原始采血管上机，样本和试剂自动摇匀，自动添加样本和试剂，所有测试项目均无需手动复溶等人工干预，实现全程自动化检测。</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反应杯：具有原厂配套反应杯，单次可装</w:t>
      </w:r>
      <w:r>
        <w:rPr>
          <w:rFonts w:hint="eastAsia" w:ascii="仿宋" w:hAnsi="仿宋" w:eastAsia="仿宋" w:cs="仿宋"/>
          <w:sz w:val="24"/>
          <w:szCs w:val="24"/>
          <w:lang w:eastAsia="zh-CN"/>
        </w:rPr>
        <w:t>载</w:t>
      </w:r>
      <w:r>
        <w:rPr>
          <w:rFonts w:hint="eastAsia" w:ascii="仿宋" w:hAnsi="仿宋" w:eastAsia="仿宋" w:cs="仿宋"/>
          <w:sz w:val="24"/>
          <w:szCs w:val="24"/>
        </w:rPr>
        <w:t>不少于60个反应杯，反应杯为单个独立非联杯，支持随时不停机添加。</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混匀系统：自动进行样本混匀（由于全血的特殊性、不接受样本针混吸方式混匀）</w:t>
      </w:r>
      <w:r>
        <w:rPr>
          <w:rFonts w:hint="eastAsia" w:ascii="仿宋" w:hAnsi="仿宋" w:eastAsia="仿宋" w:cs="仿宋"/>
          <w:sz w:val="24"/>
          <w:szCs w:val="24"/>
          <w:lang w:eastAsia="zh-CN"/>
        </w:rPr>
        <w:t>；</w:t>
      </w:r>
      <w:r>
        <w:rPr>
          <w:rFonts w:hint="eastAsia" w:ascii="仿宋" w:hAnsi="仿宋" w:eastAsia="仿宋" w:cs="仿宋"/>
          <w:sz w:val="24"/>
          <w:szCs w:val="24"/>
        </w:rPr>
        <w:t>机械臂智能识别不同类型的采血管，兼容不同直径和不同高度采血管</w:t>
      </w:r>
      <w:r>
        <w:rPr>
          <w:rFonts w:hint="eastAsia" w:ascii="仿宋" w:hAnsi="仿宋" w:eastAsia="仿宋" w:cs="仿宋"/>
          <w:sz w:val="24"/>
          <w:szCs w:val="24"/>
          <w:lang w:eastAsia="zh-CN"/>
        </w:rPr>
        <w:t>者优先考虑。</w:t>
      </w:r>
    </w:p>
    <w:p>
      <w:pPr>
        <w:pStyle w:val="7"/>
        <w:spacing w:line="360" w:lineRule="auto"/>
        <w:ind w:left="0" w:leftChars="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进样方式：原始采血管直接上机，无需脱帽处理，闭盖穿刺进样，避免气溶胶产生，提高生物安全。</w:t>
      </w:r>
    </w:p>
    <w:p>
      <w:pPr>
        <w:pStyle w:val="7"/>
        <w:spacing w:line="360" w:lineRule="auto"/>
        <w:ind w:left="0" w:leftChars="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智能检测：支持加样针堵针、空吸和液面检测，保证</w:t>
      </w:r>
      <w:r>
        <w:rPr>
          <w:rFonts w:hint="eastAsia" w:ascii="仿宋" w:hAnsi="仿宋" w:eastAsia="仿宋" w:cs="仿宋"/>
          <w:b/>
          <w:bCs/>
          <w:sz w:val="24"/>
          <w:szCs w:val="24"/>
          <w:lang w:eastAsia="zh-CN"/>
        </w:rPr>
        <w:t>检测结果</w:t>
      </w:r>
      <w:r>
        <w:rPr>
          <w:rFonts w:hint="eastAsia" w:ascii="仿宋" w:hAnsi="仿宋" w:eastAsia="仿宋" w:cs="仿宋"/>
          <w:b/>
          <w:bCs/>
          <w:sz w:val="24"/>
          <w:szCs w:val="24"/>
        </w:rPr>
        <w:t>的准确性。</w:t>
      </w:r>
    </w:p>
    <w:p>
      <w:pPr>
        <w:pStyle w:val="7"/>
        <w:spacing w:line="360" w:lineRule="auto"/>
        <w:ind w:left="0" w:leftChars="0"/>
        <w:jc w:val="left"/>
        <w:rPr>
          <w:rFonts w:hint="eastAsia" w:ascii="仿宋" w:hAnsi="仿宋" w:eastAsia="宋体" w:cs="仿宋"/>
          <w:b/>
          <w:bCs/>
          <w:sz w:val="24"/>
          <w:szCs w:val="24"/>
          <w:lang w:eastAsia="zh-CN"/>
        </w:rPr>
      </w:pPr>
      <w:r>
        <w:rPr>
          <w:rFonts w:hint="eastAsia" w:ascii="仿宋" w:hAnsi="仿宋" w:eastAsia="仿宋" w:cs="仿宋"/>
          <w:b/>
          <w:bCs/>
          <w:sz w:val="24"/>
          <w:szCs w:val="24"/>
          <w:lang w:val="en-US" w:eastAsia="zh-CN"/>
        </w:rPr>
        <w:t>*2.7</w:t>
      </w:r>
      <w:r>
        <w:rPr>
          <w:rFonts w:hint="eastAsia" w:ascii="仿宋" w:hAnsi="仿宋" w:eastAsia="仿宋" w:cs="仿宋"/>
          <w:b/>
          <w:bCs/>
          <w:sz w:val="24"/>
          <w:szCs w:val="24"/>
        </w:rPr>
        <w:t>联网功能：支持实验室信息系统联网，</w:t>
      </w:r>
      <w:r>
        <w:rPr>
          <w:rFonts w:hint="eastAsia" w:ascii="仿宋" w:hAnsi="仿宋" w:eastAsia="仿宋" w:cs="仿宋"/>
          <w:b/>
          <w:bCs/>
          <w:sz w:val="24"/>
          <w:szCs w:val="24"/>
          <w:lang w:eastAsia="zh-CN"/>
        </w:rPr>
        <w:t>具备通过网络单向、双向连接外部</w:t>
      </w:r>
      <w:r>
        <w:rPr>
          <w:rFonts w:hint="eastAsia" w:ascii="仿宋" w:hAnsi="仿宋" w:eastAsia="仿宋" w:cs="仿宋"/>
          <w:b/>
          <w:bCs/>
          <w:sz w:val="24"/>
          <w:szCs w:val="24"/>
        </w:rPr>
        <w:t>LIS系统</w:t>
      </w:r>
      <w:r>
        <w:rPr>
          <w:rFonts w:hint="eastAsia" w:ascii="仿宋" w:hAnsi="仿宋" w:eastAsia="仿宋" w:cs="仿宋"/>
          <w:b/>
          <w:bCs/>
          <w:sz w:val="24"/>
          <w:szCs w:val="24"/>
          <w:lang w:eastAsia="zh-CN"/>
        </w:rPr>
        <w:t>功能</w:t>
      </w:r>
      <w:r>
        <w:rPr>
          <w:rFonts w:hint="eastAsia" w:ascii="仿宋" w:hAnsi="仿宋" w:eastAsia="仿宋" w:cs="仿宋"/>
          <w:b/>
          <w:bCs/>
          <w:sz w:val="24"/>
          <w:szCs w:val="24"/>
        </w:rPr>
        <w:t>；具备USB接口、可支持U盘，鼠标等连接</w:t>
      </w:r>
      <w:r>
        <w:rPr>
          <w:rFonts w:hint="eastAsia" w:ascii="仿宋" w:hAnsi="仿宋" w:eastAsia="仿宋" w:cs="仿宋"/>
          <w:b/>
          <w:bCs/>
          <w:sz w:val="24"/>
          <w:szCs w:val="24"/>
          <w:lang w:eastAsia="zh-CN"/>
        </w:rPr>
        <w:t>；需承担全自动血栓弹力图设备与实验室信息系统双向通讯联网所产生的费用。（</w:t>
      </w:r>
      <w:r>
        <w:rPr>
          <w:rFonts w:hint="eastAsia" w:ascii="仿宋" w:hAnsi="仿宋" w:eastAsia="仿宋" w:cs="仿宋"/>
          <w:b/>
          <w:bCs/>
          <w:sz w:val="24"/>
          <w:szCs w:val="24"/>
          <w:lang w:val="en-US" w:eastAsia="zh-CN"/>
        </w:rPr>
        <w:t>投标人提供承诺函并加盖公章</w:t>
      </w:r>
      <w:r>
        <w:rPr>
          <w:rFonts w:hint="eastAsia" w:ascii="仿宋" w:hAnsi="仿宋" w:eastAsia="仿宋" w:cs="仿宋"/>
          <w:b/>
          <w:bCs/>
          <w:sz w:val="24"/>
          <w:szCs w:val="24"/>
          <w:lang w:eastAsia="zh-CN"/>
        </w:rPr>
        <w:t>）</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试剂位：≧10个试剂位，具有自动定时混匀功能，支持全液体上机，支持试剂24小时在机冷藏。</w:t>
      </w:r>
    </w:p>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抗震性能：仪器受周边环境影响较小，抗干扰性能优异，提供相关的支撑材料予以证明。</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2.10</w:t>
      </w:r>
      <w:r>
        <w:rPr>
          <w:rFonts w:hint="eastAsia" w:ascii="仿宋" w:hAnsi="仿宋" w:eastAsia="仿宋" w:cs="仿宋"/>
          <w:sz w:val="24"/>
          <w:szCs w:val="24"/>
        </w:rPr>
        <w:t>输出参数：能提供R、K、Angle(α)、MA、TMA、</w:t>
      </w:r>
      <w:r>
        <w:rPr>
          <w:rFonts w:hint="eastAsia" w:ascii="仿宋" w:hAnsi="仿宋" w:eastAsia="仿宋" w:cs="仿宋"/>
          <w:sz w:val="24"/>
          <w:szCs w:val="24"/>
          <w:lang w:val="en-US" w:eastAsia="zh-CN"/>
        </w:rPr>
        <w:t>ACT、</w:t>
      </w:r>
      <w:r>
        <w:rPr>
          <w:rFonts w:hint="eastAsia" w:ascii="仿宋" w:hAnsi="仿宋" w:eastAsia="仿宋" w:cs="仿宋"/>
          <w:sz w:val="24"/>
          <w:szCs w:val="24"/>
        </w:rPr>
        <w:t>G、EPL、A、CI、LY30、TPI、A30、A60、CL30、CL60、LY60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E、CLT、LTE</w:t>
      </w:r>
      <w:r>
        <w:rPr>
          <w:rFonts w:hint="eastAsia" w:ascii="仿宋" w:hAnsi="仿宋" w:eastAsia="仿宋" w:cs="仿宋"/>
          <w:sz w:val="24"/>
          <w:szCs w:val="24"/>
        </w:rPr>
        <w:t>等2</w:t>
      </w:r>
      <w:r>
        <w:rPr>
          <w:rFonts w:hint="eastAsia" w:ascii="仿宋" w:hAnsi="仿宋" w:eastAsia="仿宋" w:cs="仿宋"/>
          <w:sz w:val="24"/>
          <w:szCs w:val="24"/>
          <w:lang w:val="en-US" w:eastAsia="zh-CN"/>
        </w:rPr>
        <w:t>0</w:t>
      </w:r>
      <w:r>
        <w:rPr>
          <w:rFonts w:hint="eastAsia" w:ascii="仿宋" w:hAnsi="仿宋" w:eastAsia="仿宋" w:cs="仿宋"/>
          <w:sz w:val="24"/>
          <w:szCs w:val="24"/>
        </w:rPr>
        <w:t>个以上标准参数。</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3.全自动血栓弹力图仪的性能要求：</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3.1仪器测试结果的稳定性：连续工作8 h，测试结果的变化应不超过±10%（R，α，MA），应不超过±12%(K)。</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3.2测试重复性：全自动血栓弹力图仪的变异系数 CV 应不超过 6%（R，α，MA），应不超过 10%（K）。</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3.3通道间差异 ：全自动血栓弹力图仪的通道间差异应不超过 6%（R，α，MA），应不超过 10%（K）。</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3.4携带污染率：携带污染率应不超过0.5%。</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3.5测试有效性：测试结果应均在靶值范围内。</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3.6加样准确度与重复性：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26" w:type="dxa"/>
            <w:vMerge w:val="restart"/>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标称加样量（V）/uL</w:t>
            </w:r>
          </w:p>
        </w:tc>
        <w:tc>
          <w:tcPr>
            <w:tcW w:w="4252" w:type="dxa"/>
            <w:gridSpan w:val="2"/>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26" w:type="dxa"/>
            <w:vMerge w:val="continue"/>
            <w:noWrap w:val="0"/>
            <w:vAlign w:val="top"/>
          </w:tcPr>
          <w:p>
            <w:pPr>
              <w:pStyle w:val="7"/>
              <w:spacing w:line="360" w:lineRule="auto"/>
              <w:ind w:left="0" w:leftChars="0"/>
              <w:jc w:val="left"/>
              <w:rPr>
                <w:rFonts w:hint="eastAsia" w:ascii="仿宋" w:hAnsi="仿宋" w:eastAsia="仿宋" w:cs="仿宋"/>
                <w:sz w:val="24"/>
                <w:szCs w:val="24"/>
              </w:rPr>
            </w:pP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准确度</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变异系数（CV）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V≦10</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不超过±1 uL</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10＜V≦50</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不超过±10%</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V＞50</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不超过±5%</w:t>
            </w:r>
          </w:p>
        </w:tc>
        <w:tc>
          <w:tcPr>
            <w:tcW w:w="2126" w:type="dxa"/>
            <w:noWrap w:val="0"/>
            <w:vAlign w:val="top"/>
          </w:tcPr>
          <w:p>
            <w:pPr>
              <w:pStyle w:val="7"/>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≦2</w:t>
            </w:r>
          </w:p>
        </w:tc>
      </w:tr>
    </w:tbl>
    <w:p>
      <w:pPr>
        <w:pStyle w:val="7"/>
        <w:spacing w:line="360" w:lineRule="auto"/>
        <w:ind w:left="0" w:leftChars="0"/>
        <w:jc w:val="left"/>
        <w:rPr>
          <w:rFonts w:hint="eastAsia" w:ascii="仿宋" w:hAnsi="仿宋" w:eastAsia="仿宋" w:cs="仿宋"/>
          <w:sz w:val="24"/>
          <w:szCs w:val="24"/>
        </w:rPr>
      </w:pP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4.进样量：可一次性装载不低于30个标本，并支持连续不间断进样，满足更多标本检测。</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5.反应区温度控制的准确度与波动度：正常测试条件下（37 ℃），反应区温度的准确度应在设定值的±0.5 ℃内，波动度应不超过1 ℃。 </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6.条形码扫描：仪器内置条形码扫描，设备支持360度条形码旋转扫描优先。</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7.仪器自带windows操作系统软件功能：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7.1支持仪器自定义设置自动开机时间，自动孵育等开机自检功能。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7.2支持日志记录与筛选查询，支持样本曲线及参数同屏叠加显示，支持试剂及反应杯等耗材数量查看，支持测试通道状态及测试项目查看；</w:t>
      </w:r>
    </w:p>
    <w:p>
      <w:pPr>
        <w:pStyle w:val="7"/>
        <w:spacing w:line="360" w:lineRule="auto"/>
        <w:ind w:left="0" w:left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*7.3支持单机版检验报告模式并能打印，报告模式为数据+图形，同时支持自定义参数输出及打印，参数可调，应能提供结果查询功能；</w:t>
      </w:r>
    </w:p>
    <w:p>
      <w:pPr>
        <w:pStyle w:val="7"/>
        <w:spacing w:line="360" w:lineRule="auto"/>
        <w:ind w:left="0" w:left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7.4支持室内质量控制管理功能，有基于westgard规则的室内质控图，图形包含质控品批号、水平，均值、标准差、显示质控具体时间等相关参数，支持统计一段日期内，室内质控的数据如累计数据的均值、标准差、变异系数，失控个数、失控规则等情况。室内质控图及质控数据储存时间至少不低于5年。</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投标人提供承诺函并加盖公章</w:t>
      </w:r>
      <w:r>
        <w:rPr>
          <w:rFonts w:hint="eastAsia" w:ascii="仿宋" w:hAnsi="仿宋" w:eastAsia="仿宋" w:cs="仿宋"/>
          <w:b/>
          <w:bCs/>
          <w:sz w:val="24"/>
          <w:szCs w:val="24"/>
          <w:lang w:eastAsia="zh-CN"/>
        </w:rPr>
        <w:t>）</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7.5应具有加样异常状态（如：堵针、液面异常等）提示功能。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7.6应具有温度异常状态提示功能。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7.7应提供访问权限控制功能。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8.急诊测试：配备独立的急诊样本架，可设定急诊模式，保证急诊样本优先检测，实现随到随测。</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9.安全与报警：配备消毒功能，保障设备内部空间的生物安全性，具备声音和警示灯双重报警系统功能。</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10.检测项目：活化凝血检测、凝血激活检测、血小板-AA及ADP等项目检测。</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11.配套试剂要求：</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 原厂配套试剂，其中活化凝血检测试剂、凝血激活检测试剂、血小板-AA及ADP检测试剂及配套质控品，有效期≧24个月；试剂储存条件为2-8℃或常温下储存。</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 考虑其后标本量逐步上升，以及试剂使用的便捷性，不接受单人份试剂，要求试剂为多人份包装。</w:t>
      </w:r>
    </w:p>
    <w:p>
      <w:pPr>
        <w:pStyle w:val="7"/>
        <w:spacing w:line="360" w:lineRule="auto"/>
        <w:ind w:left="0" w:left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售后服务：售后服务人员不少于3人，保证设备在出现故障的应急状态时两小时内能达到现场，能够提供保证标本在4小时内能完成检测的应急措施（包括但不限于提供备用检测平台等措施）；按照相关法律法规、行业规范等规范性文件要求，定期（每年至少不低于1次，由实验室具体情况而定）免费开展全自动血栓弹力图仪器的校准和性能验证试验。</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投标人提供承诺函并加盖公章</w:t>
      </w:r>
      <w:r>
        <w:rPr>
          <w:rFonts w:hint="eastAsia" w:ascii="仿宋" w:hAnsi="仿宋" w:eastAsia="仿宋" w:cs="仿宋"/>
          <w:b/>
          <w:bCs/>
          <w:sz w:val="24"/>
          <w:szCs w:val="24"/>
          <w:lang w:eastAsia="zh-CN"/>
        </w:rPr>
        <w:t>）</w:t>
      </w:r>
    </w:p>
    <w:p>
      <w:pPr>
        <w:pStyle w:val="7"/>
        <w:spacing w:line="360" w:lineRule="auto"/>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13.投标人承诺，中标供应商须提供所投标的产品样机供采购人验收，经验证符合招标参数要求后，再签订合同供货。投标人提供承诺函并加盖公章。</w:t>
      </w:r>
    </w:p>
    <w:p>
      <w:pPr>
        <w:keepNext w:val="0"/>
        <w:keepLines w:val="0"/>
        <w:pageBreakBefore w:val="0"/>
        <w:widowControl w:val="0"/>
        <w:kinsoku/>
        <w:wordWrap w:val="0"/>
        <w:overflowPunct/>
        <w:topLinePunct/>
        <w:autoSpaceDE/>
        <w:autoSpaceDN/>
        <w:bidi w:val="0"/>
        <w:adjustRightInd w:val="0"/>
        <w:snapToGrid w:val="0"/>
        <w:spacing w:line="360" w:lineRule="auto"/>
        <w:jc w:val="both"/>
        <w:outlineLvl w:val="2"/>
        <w:rPr>
          <w:rFonts w:hint="eastAsia" w:ascii="宋体" w:hAnsi="宋体" w:eastAsia="宋体" w:cs="宋体"/>
          <w:b/>
          <w:snapToGrid w:val="0"/>
          <w:color w:val="000000"/>
          <w:spacing w:val="0"/>
          <w:kern w:val="0"/>
          <w:sz w:val="28"/>
          <w:szCs w:val="28"/>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rPr>
        <w:t>采购需求一览表</w:t>
      </w:r>
    </w:p>
    <w:tbl>
      <w:tblPr>
        <w:tblStyle w:val="8"/>
        <w:tblW w:w="4975" w:type="pct"/>
        <w:tblInd w:w="0" w:type="dxa"/>
        <w:tblLayout w:type="fixed"/>
        <w:tblCellMar>
          <w:top w:w="0" w:type="dxa"/>
          <w:left w:w="0" w:type="dxa"/>
          <w:bottom w:w="0" w:type="dxa"/>
          <w:right w:w="0" w:type="dxa"/>
        </w:tblCellMar>
      </w:tblPr>
      <w:tblGrid>
        <w:gridCol w:w="631"/>
        <w:gridCol w:w="2438"/>
        <w:gridCol w:w="2118"/>
        <w:gridCol w:w="1565"/>
        <w:gridCol w:w="693"/>
        <w:gridCol w:w="839"/>
      </w:tblGrid>
      <w:tr>
        <w:tblPrEx>
          <w:tblCellMar>
            <w:top w:w="0" w:type="dxa"/>
            <w:left w:w="0" w:type="dxa"/>
            <w:bottom w:w="0" w:type="dxa"/>
            <w:right w:w="0" w:type="dxa"/>
          </w:tblCellMar>
        </w:tblPrEx>
        <w:trPr>
          <w:trHeight w:val="513" w:hRule="atLeast"/>
        </w:trPr>
        <w:tc>
          <w:tcPr>
            <w:tcW w:w="3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序号</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注册证名称</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简称</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预计年试剂用量</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lang w:eastAsia="zh-CN"/>
              </w:rPr>
            </w:pPr>
            <w:r>
              <w:rPr>
                <w:rFonts w:hint="eastAsia" w:ascii="仿宋_GB2312" w:hAnsi="Dotum" w:eastAsia="仿宋_GB2312" w:cs="仿宋_GB2312"/>
                <w:color w:val="auto"/>
                <w:sz w:val="24"/>
                <w:szCs w:val="24"/>
                <w:lang w:val="en-US" w:eastAsia="zh-CN"/>
              </w:rPr>
              <w:t>预算</w:t>
            </w:r>
            <w:r>
              <w:rPr>
                <w:rFonts w:hint="eastAsia" w:ascii="仿宋_GB2312" w:hAnsi="Dotum" w:eastAsia="仿宋_GB2312" w:cs="仿宋_GB2312"/>
                <w:color w:val="auto"/>
                <w:sz w:val="24"/>
                <w:szCs w:val="24"/>
                <w:lang w:eastAsia="zh-CN"/>
              </w:rPr>
              <w:t>单价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color w:val="000000"/>
                <w:sz w:val="21"/>
                <w:szCs w:val="21"/>
                <w:lang w:eastAsia="zh-CN"/>
              </w:rPr>
            </w:pPr>
            <w:r>
              <w:rPr>
                <w:rFonts w:hint="eastAsia" w:ascii="仿宋_GB2312" w:hAnsi="新宋体" w:eastAsia="仿宋_GB2312" w:cs="新宋体"/>
                <w:sz w:val="24"/>
                <w:szCs w:val="24"/>
              </w:rPr>
              <w:t>总价（</w:t>
            </w:r>
            <w:r>
              <w:rPr>
                <w:rFonts w:hint="eastAsia" w:ascii="仿宋_GB2312" w:hAnsi="新宋体" w:eastAsia="仿宋_GB2312" w:cs="新宋体"/>
                <w:sz w:val="24"/>
                <w:szCs w:val="24"/>
                <w:lang w:val="en-US"/>
              </w:rPr>
              <w:t>元/年</w:t>
            </w:r>
            <w:r>
              <w:rPr>
                <w:rFonts w:hint="eastAsia" w:ascii="仿宋_GB2312" w:hAnsi="新宋体" w:eastAsia="仿宋_GB2312" w:cs="新宋体"/>
                <w:sz w:val="24"/>
                <w:szCs w:val="24"/>
              </w:rPr>
              <w:t>）</w:t>
            </w: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1</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活化凝血检测试剂盒</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Kaolin</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7200人份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Dotum" w:eastAsia="仿宋_GB2312" w:cs="仿宋_GB2312"/>
                <w:color w:val="auto"/>
                <w:sz w:val="24"/>
                <w:szCs w:val="24"/>
                <w:lang w:val="en-US" w:eastAsia="zh-CN"/>
              </w:rPr>
            </w:pPr>
            <w:r>
              <w:rPr>
                <w:rFonts w:hint="eastAsia" w:ascii="仿宋_GB2312" w:hAnsi="Dotum" w:eastAsia="仿宋_GB2312" w:cs="仿宋_GB2312"/>
                <w:color w:val="auto"/>
                <w:sz w:val="24"/>
                <w:szCs w:val="24"/>
                <w:lang w:val="en-US" w:eastAsia="zh-CN"/>
              </w:rPr>
              <w:t>104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3</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凝血激活检测试剂盒</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R-kaolin</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100人份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Dotum" w:eastAsia="仿宋_GB2312" w:cs="仿宋_GB2312"/>
                <w:color w:val="auto"/>
                <w:sz w:val="24"/>
                <w:szCs w:val="24"/>
                <w:lang w:val="en-US" w:eastAsia="zh-CN"/>
              </w:rPr>
            </w:pPr>
            <w:r>
              <w:rPr>
                <w:rFonts w:hint="eastAsia" w:ascii="宋体" w:hAnsi="宋体" w:eastAsia="宋体" w:cs="宋体"/>
                <w:color w:val="000000"/>
                <w:sz w:val="21"/>
                <w:szCs w:val="21"/>
                <w:lang w:val="en-US" w:eastAsia="zh-CN"/>
              </w:rPr>
              <w:t>104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3</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血栓弹力图试验试剂盒（血小板-AA及ADP试剂）</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血小板AA实验</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50人份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Dotum" w:eastAsia="仿宋_GB2312" w:cs="仿宋_GB2312"/>
                <w:color w:val="auto"/>
                <w:sz w:val="24"/>
                <w:szCs w:val="24"/>
                <w:lang w:val="en-US" w:eastAsia="zh-CN"/>
              </w:rPr>
            </w:pPr>
            <w:r>
              <w:rPr>
                <w:rFonts w:hint="eastAsia" w:ascii="宋体" w:hAnsi="宋体" w:eastAsia="宋体" w:cs="宋体"/>
                <w:color w:val="000000"/>
                <w:sz w:val="21"/>
                <w:szCs w:val="21"/>
                <w:lang w:val="en-US" w:eastAsia="zh-CN"/>
              </w:rPr>
              <w:t>320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4</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血栓弹力图试验试剂盒（血小板-AA及ADP试剂）</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血小板ADP实验</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50人份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Dotum" w:eastAsia="仿宋_GB2312" w:cs="仿宋_GB2312"/>
                <w:color w:val="auto"/>
                <w:sz w:val="24"/>
                <w:szCs w:val="24"/>
                <w:lang w:val="en-US" w:eastAsia="zh-CN"/>
              </w:rPr>
            </w:pPr>
            <w:r>
              <w:rPr>
                <w:rFonts w:hint="eastAsia" w:ascii="宋体" w:hAnsi="宋体" w:eastAsia="宋体" w:cs="宋体"/>
                <w:color w:val="000000"/>
                <w:sz w:val="21"/>
                <w:szCs w:val="21"/>
                <w:lang w:val="en-US" w:eastAsia="zh-CN"/>
              </w:rPr>
              <w:t>320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5</w:t>
            </w:r>
          </w:p>
        </w:tc>
        <w:tc>
          <w:tcPr>
            <w:tcW w:w="14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血栓弹力图试验试剂盒（血小板-AA及ADP试剂）</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血小板AA+ADP实验</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50人份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Dotum" w:eastAsia="仿宋_GB2312" w:cs="仿宋_GB2312"/>
                <w:color w:val="auto"/>
                <w:sz w:val="24"/>
                <w:szCs w:val="24"/>
                <w:lang w:val="en-US" w:eastAsia="zh-CN"/>
              </w:rPr>
            </w:pPr>
            <w:r>
              <w:rPr>
                <w:rFonts w:hint="eastAsia" w:ascii="宋体" w:hAnsi="宋体" w:eastAsia="宋体" w:cs="宋体"/>
                <w:color w:val="000000"/>
                <w:sz w:val="21"/>
                <w:szCs w:val="21"/>
                <w:lang w:val="en-US" w:eastAsia="zh-CN"/>
              </w:rPr>
              <w:t>400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6</w:t>
            </w:r>
          </w:p>
        </w:tc>
        <w:tc>
          <w:tcPr>
            <w:tcW w:w="1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血栓弹力图质控品</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Control I</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按需配套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（满足实验室日常需求，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每通道每日至少做1次室内质控）</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rPr>
            </w:pPr>
            <w:r>
              <w:rPr>
                <w:rFonts w:hint="eastAsia" w:ascii="宋体" w:hAnsi="宋体" w:eastAsia="宋体" w:cs="宋体"/>
                <w:color w:val="000000"/>
                <w:sz w:val="21"/>
                <w:szCs w:val="21"/>
              </w:rPr>
              <w:t>/</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7</w:t>
            </w:r>
          </w:p>
        </w:tc>
        <w:tc>
          <w:tcPr>
            <w:tcW w:w="1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血栓弹力图质控品</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Control II</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按需配套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（满足实验室日常需求，每通道每日至少做1次室内质控）</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rPr>
            </w:pPr>
            <w:r>
              <w:rPr>
                <w:rFonts w:hint="eastAsia" w:ascii="宋体" w:hAnsi="宋体" w:eastAsia="宋体" w:cs="宋体"/>
                <w:color w:val="000000"/>
                <w:sz w:val="21"/>
                <w:szCs w:val="21"/>
              </w:rPr>
              <w:t>/</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8</w:t>
            </w:r>
          </w:p>
        </w:tc>
        <w:tc>
          <w:tcPr>
            <w:tcW w:w="1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强化清洗液</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强化清洗液</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按需配套</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rPr>
            </w:pPr>
            <w:r>
              <w:rPr>
                <w:rFonts w:hint="eastAsia" w:ascii="宋体" w:hAnsi="宋体" w:eastAsia="宋体" w:cs="宋体"/>
                <w:color w:val="000000"/>
                <w:sz w:val="21"/>
                <w:szCs w:val="21"/>
              </w:rPr>
              <w:t>/</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9</w:t>
            </w:r>
          </w:p>
        </w:tc>
        <w:tc>
          <w:tcPr>
            <w:tcW w:w="1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浓缩清洗液</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浓缩清洗液</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按需配套</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rPr>
            </w:pPr>
            <w:r>
              <w:rPr>
                <w:rFonts w:hint="eastAsia" w:ascii="宋体" w:hAnsi="宋体" w:eastAsia="宋体" w:cs="宋体"/>
                <w:color w:val="000000"/>
                <w:sz w:val="21"/>
                <w:szCs w:val="21"/>
              </w:rPr>
              <w:t>/</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r>
        <w:tblPrEx>
          <w:tblCellMar>
            <w:top w:w="0" w:type="dxa"/>
            <w:left w:w="0" w:type="dxa"/>
            <w:bottom w:w="0" w:type="dxa"/>
            <w:right w:w="0" w:type="dxa"/>
          </w:tblCellMar>
        </w:tblPrEx>
        <w:trPr>
          <w:trHeight w:val="83" w:hRule="atLeast"/>
        </w:trPr>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10</w:t>
            </w:r>
          </w:p>
        </w:tc>
        <w:tc>
          <w:tcPr>
            <w:tcW w:w="1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各种反应杯（普通杯、快速杯等）</w:t>
            </w:r>
          </w:p>
        </w:tc>
        <w:tc>
          <w:tcPr>
            <w:tcW w:w="1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各种反应杯</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Dotum" w:eastAsia="仿宋_GB2312" w:cs="仿宋_GB2312"/>
                <w:color w:val="auto"/>
                <w:sz w:val="24"/>
                <w:szCs w:val="24"/>
              </w:rPr>
            </w:pPr>
            <w:r>
              <w:rPr>
                <w:rFonts w:hint="eastAsia" w:ascii="仿宋_GB2312" w:hAnsi="Dotum" w:eastAsia="仿宋_GB2312" w:cs="仿宋_GB2312"/>
                <w:color w:val="auto"/>
                <w:sz w:val="24"/>
                <w:szCs w:val="24"/>
              </w:rPr>
              <w:t>按需配套</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Dotum" w:eastAsia="仿宋_GB2312" w:cs="仿宋_GB2312"/>
                <w:color w:val="auto"/>
                <w:sz w:val="24"/>
                <w:szCs w:val="24"/>
              </w:rPr>
            </w:pPr>
            <w:r>
              <w:rPr>
                <w:rFonts w:hint="eastAsia" w:ascii="宋体" w:hAnsi="宋体" w:eastAsia="宋体" w:cs="宋体"/>
                <w:color w:val="000000"/>
                <w:sz w:val="21"/>
                <w:szCs w:val="21"/>
              </w:rPr>
              <w:t>/</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lang w:val="en-US" w:eastAsia="zh-CN"/>
              </w:rPr>
            </w:pPr>
          </w:p>
        </w:tc>
      </w:tr>
    </w:tbl>
    <w:p>
      <w:pPr>
        <w:pStyle w:val="11"/>
        <w:keepNext w:val="0"/>
        <w:keepLines w:val="0"/>
        <w:pageBreakBefore w:val="0"/>
        <w:widowControl w:val="0"/>
        <w:kinsoku/>
        <w:wordWrap w:val="0"/>
        <w:overflowPunct/>
        <w:topLinePunct/>
        <w:autoSpaceDE/>
        <w:autoSpaceDN/>
        <w:bidi w:val="0"/>
        <w:adjustRightInd w:val="0"/>
        <w:snapToGrid w:val="0"/>
        <w:ind w:firstLine="470" w:firstLineChars="196"/>
        <w:jc w:val="center"/>
        <w:rPr>
          <w:rFonts w:eastAsia="仿宋"/>
          <w:snapToGrid w:val="0"/>
          <w:color w:val="000000"/>
          <w:spacing w:val="0"/>
          <w:kern w:val="0"/>
          <w:sz w:val="24"/>
          <w:szCs w:val="24"/>
          <w:highlight w:val="none"/>
        </w:rPr>
      </w:pPr>
    </w:p>
    <w:p>
      <w:pPr>
        <w:pStyle w:val="2"/>
        <w:rPr>
          <w:rFonts w:hint="eastAsia"/>
          <w:color w:val="000000"/>
          <w:highlight w:val="none"/>
        </w:rPr>
      </w:pPr>
    </w:p>
    <w:p>
      <w:pPr>
        <w:pStyle w:val="5"/>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第</w:t>
      </w:r>
      <w:r>
        <w:rPr>
          <w:rFonts w:hint="eastAsia" w:ascii="宋体" w:hAnsi="宋体" w:eastAsia="宋体" w:cs="宋体"/>
          <w:b/>
          <w:bCs/>
          <w:color w:val="000000"/>
          <w:highlight w:val="none"/>
          <w:lang w:eastAsia="zh-CN"/>
        </w:rPr>
        <w:t>四</w:t>
      </w:r>
      <w:r>
        <w:rPr>
          <w:rFonts w:hint="eastAsia" w:ascii="宋体" w:hAnsi="宋体" w:eastAsia="宋体" w:cs="宋体"/>
          <w:b/>
          <w:bCs/>
          <w:color w:val="000000"/>
          <w:highlight w:val="none"/>
        </w:rPr>
        <w:t>章评标办法</w:t>
      </w:r>
    </w:p>
    <w:p>
      <w:pPr>
        <w:spacing w:line="360" w:lineRule="auto"/>
        <w:ind w:firstLine="562" w:firstLineChars="200"/>
        <w:jc w:val="center"/>
        <w:rPr>
          <w:rFonts w:hint="eastAsia" w:ascii="宋体" w:hAnsi="宋体"/>
          <w:b/>
          <w:color w:val="000000"/>
          <w:sz w:val="24"/>
          <w:szCs w:val="24"/>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1.评审原则 </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1.1合法、合规原则。</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2</w:t>
      </w:r>
      <w:r>
        <w:rPr>
          <w:rFonts w:hint="eastAsia" w:ascii="宋体" w:hAnsi="宋体"/>
          <w:color w:val="FF0000"/>
          <w:sz w:val="21"/>
          <w:szCs w:val="21"/>
          <w:highlight w:val="none"/>
        </w:rPr>
        <w:t>公平、公正、科学、审慎、择优原则。</w:t>
      </w:r>
    </w:p>
    <w:p>
      <w:pPr>
        <w:spacing w:line="360" w:lineRule="auto"/>
        <w:ind w:firstLine="420" w:firstLineChars="200"/>
        <w:rPr>
          <w:rFonts w:ascii="宋体" w:hAnsi="宋体"/>
          <w:color w:val="00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3</w:t>
      </w:r>
      <w:r>
        <w:rPr>
          <w:rFonts w:hint="eastAsia" w:ascii="宋体" w:hAnsi="宋体"/>
          <w:color w:val="FF0000"/>
          <w:sz w:val="21"/>
          <w:szCs w:val="21"/>
          <w:highlight w:val="none"/>
        </w:rPr>
        <w:t>高分优先原则。衡量投标文件满足招标文件规定各项评审标准的程度，折算为综合得分分值，依据每个</w:t>
      </w:r>
      <w:r>
        <w:rPr>
          <w:rFonts w:hint="eastAsia"/>
          <w:color w:val="FF0000"/>
          <w:sz w:val="21"/>
          <w:szCs w:val="21"/>
          <w:highlight w:val="none"/>
          <w:lang w:eastAsia="zh-CN"/>
        </w:rPr>
        <w:t>投标人</w:t>
      </w:r>
      <w:r>
        <w:rPr>
          <w:rFonts w:hint="eastAsia" w:ascii="宋体" w:hAnsi="宋体"/>
          <w:color w:val="FF0000"/>
          <w:sz w:val="21"/>
          <w:szCs w:val="21"/>
          <w:highlight w:val="none"/>
        </w:rPr>
        <w:t>的综合得分由高到低，依次确定排名顺序</w:t>
      </w:r>
      <w:r>
        <w:rPr>
          <w:rFonts w:hint="eastAsia" w:ascii="宋体" w:hAnsi="宋体"/>
          <w:color w:val="000000"/>
          <w:sz w:val="21"/>
          <w:szCs w:val="21"/>
          <w:highlight w:val="none"/>
        </w:rPr>
        <w:t>。</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2.评审分值分配（满分100分）</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2.1商务标（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40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分）</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2.2技术标（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56</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3.评审内容（数值计算结果均保留两位小数，第三位四舍五入）</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pPr>
              <w:jc w:val="center"/>
              <w:rPr>
                <w:color w:val="000000"/>
                <w:sz w:val="21"/>
                <w:szCs w:val="21"/>
                <w:highlight w:val="none"/>
              </w:rPr>
            </w:pPr>
            <w:r>
              <w:rPr>
                <w:color w:val="000000"/>
                <w:sz w:val="21"/>
                <w:szCs w:val="21"/>
                <w:highlight w:val="none"/>
              </w:rPr>
              <w:t>审查内容</w:t>
            </w:r>
          </w:p>
        </w:tc>
        <w:tc>
          <w:tcPr>
            <w:tcW w:w="4771" w:type="dxa"/>
            <w:noWrap w:val="0"/>
            <w:vAlign w:val="center"/>
          </w:tcPr>
          <w:p>
            <w:pPr>
              <w:jc w:val="center"/>
              <w:rPr>
                <w:color w:val="000000"/>
                <w:sz w:val="21"/>
                <w:szCs w:val="21"/>
                <w:highlight w:val="none"/>
              </w:rPr>
            </w:pPr>
            <w:r>
              <w:rPr>
                <w:color w:val="00000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pPr>
              <w:jc w:val="left"/>
              <w:rPr>
                <w:color w:val="000000"/>
                <w:sz w:val="21"/>
                <w:szCs w:val="21"/>
                <w:highlight w:val="none"/>
              </w:rPr>
            </w:pPr>
            <w:r>
              <w:rPr>
                <w:color w:val="000000"/>
                <w:sz w:val="21"/>
                <w:szCs w:val="21"/>
                <w:highlight w:val="none"/>
              </w:rPr>
              <w:t>资格性审查</w:t>
            </w:r>
          </w:p>
        </w:tc>
        <w:tc>
          <w:tcPr>
            <w:tcW w:w="3809" w:type="dxa"/>
            <w:noWrap w:val="0"/>
            <w:vAlign w:val="center"/>
          </w:tcPr>
          <w:p>
            <w:pPr>
              <w:jc w:val="left"/>
              <w:rPr>
                <w:color w:val="000000"/>
                <w:sz w:val="21"/>
                <w:szCs w:val="21"/>
                <w:highlight w:val="none"/>
              </w:rPr>
            </w:pPr>
            <w:r>
              <w:rPr>
                <w:color w:val="000000"/>
                <w:sz w:val="21"/>
                <w:szCs w:val="21"/>
                <w:highlight w:val="none"/>
              </w:rPr>
              <w:t>营业执照</w:t>
            </w:r>
          </w:p>
        </w:tc>
        <w:tc>
          <w:tcPr>
            <w:tcW w:w="4771" w:type="dxa"/>
            <w:noWrap w:val="0"/>
            <w:vAlign w:val="center"/>
          </w:tcPr>
          <w:p>
            <w:pPr>
              <w:tabs>
                <w:tab w:val="center" w:pos="2378"/>
              </w:tabs>
              <w:jc w:val="left"/>
              <w:rPr>
                <w:color w:val="000000"/>
                <w:sz w:val="21"/>
                <w:szCs w:val="21"/>
                <w:highlight w:val="none"/>
              </w:rPr>
            </w:pPr>
            <w:r>
              <w:rPr>
                <w:color w:val="000000"/>
                <w:sz w:val="21"/>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资格</w:t>
            </w:r>
            <w:r>
              <w:rPr>
                <w:color w:val="000000"/>
                <w:sz w:val="21"/>
                <w:szCs w:val="21"/>
                <w:highlight w:val="none"/>
              </w:rPr>
              <w:t>条件</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法定代表人或授权委托人资格</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pPr>
              <w:ind w:left="0" w:leftChars="0" w:right="0" w:rightChars="0"/>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p>
      <w:pPr>
        <w:spacing w:line="360" w:lineRule="auto"/>
        <w:rPr>
          <w:rFonts w:ascii="宋体" w:hAnsi="宋体"/>
          <w:color w:val="000000"/>
          <w:sz w:val="21"/>
          <w:szCs w:val="21"/>
          <w:highlight w:val="none"/>
        </w:rPr>
      </w:pPr>
    </w:p>
    <w:tbl>
      <w:tblPr>
        <w:tblStyle w:val="8"/>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pPr>
              <w:jc w:val="left"/>
              <w:rPr>
                <w:color w:val="000000"/>
                <w:sz w:val="21"/>
                <w:szCs w:val="21"/>
                <w:highlight w:val="none"/>
              </w:rPr>
            </w:pPr>
            <w:r>
              <w:rPr>
                <w:color w:val="000000"/>
                <w:sz w:val="21"/>
                <w:szCs w:val="21"/>
                <w:highlight w:val="none"/>
              </w:rPr>
              <w:t>符合性审查</w:t>
            </w:r>
          </w:p>
        </w:tc>
        <w:tc>
          <w:tcPr>
            <w:tcW w:w="3809" w:type="dxa"/>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pPr>
              <w:jc w:val="left"/>
              <w:rPr>
                <w:color w:val="000000"/>
                <w:sz w:val="21"/>
                <w:szCs w:val="21"/>
                <w:highlight w:val="none"/>
              </w:rPr>
            </w:pPr>
            <w:r>
              <w:rPr>
                <w:color w:val="000000"/>
                <w:sz w:val="21"/>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投标文件签署</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未按招标文件规定格式进行签字（签章）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投标文件格式</w:t>
            </w:r>
          </w:p>
        </w:tc>
        <w:tc>
          <w:tcPr>
            <w:tcW w:w="4771" w:type="dxa"/>
            <w:noWrap w:val="0"/>
            <w:vAlign w:val="center"/>
          </w:tcPr>
          <w:p>
            <w:pPr>
              <w:jc w:val="left"/>
              <w:rPr>
                <w:color w:val="000000"/>
                <w:sz w:val="21"/>
                <w:szCs w:val="21"/>
                <w:highlight w:val="none"/>
              </w:rPr>
            </w:pPr>
            <w:r>
              <w:rPr>
                <w:color w:val="000000"/>
                <w:sz w:val="21"/>
                <w:szCs w:val="21"/>
                <w:highlight w:val="none"/>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投标有效期</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交货</w:t>
            </w:r>
            <w:r>
              <w:rPr>
                <w:rFonts w:hint="eastAsia"/>
                <w:color w:val="000000"/>
                <w:sz w:val="21"/>
                <w:szCs w:val="21"/>
                <w:highlight w:val="none"/>
                <w:lang w:val="en-US" w:eastAsia="zh-CN"/>
              </w:rPr>
              <w:t>期、</w:t>
            </w:r>
            <w:r>
              <w:rPr>
                <w:color w:val="000000"/>
                <w:sz w:val="21"/>
                <w:szCs w:val="21"/>
                <w:highlight w:val="none"/>
              </w:rPr>
              <w:t>地点、质保期或付款方式</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不符合招标文件的要求</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color w:val="000000"/>
          <w:sz w:val="21"/>
          <w:szCs w:val="21"/>
          <w:highlight w:val="none"/>
          <w:u w:val="single"/>
          <w:lang w:val="en-US" w:eastAsia="zh-CN"/>
        </w:rPr>
        <w:t>40</w:t>
      </w:r>
      <w:r>
        <w:rPr>
          <w:rFonts w:hint="eastAsia" w:ascii="宋体" w:hAnsi="宋体"/>
          <w:color w:val="000000"/>
          <w:sz w:val="21"/>
          <w:szCs w:val="21"/>
          <w:highlight w:val="none"/>
        </w:rPr>
        <w:t>分）</w:t>
      </w:r>
    </w:p>
    <w:tbl>
      <w:tblPr>
        <w:tblStyle w:val="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6"/>
        <w:gridCol w:w="954"/>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16" w:type="dxa"/>
            <w:noWrap w:val="0"/>
            <w:vAlign w:val="center"/>
          </w:tcPr>
          <w:p>
            <w:pPr>
              <w:jc w:val="center"/>
              <w:rPr>
                <w:color w:val="000000"/>
                <w:sz w:val="21"/>
                <w:szCs w:val="21"/>
                <w:highlight w:val="none"/>
              </w:rPr>
            </w:pPr>
            <w:r>
              <w:rPr>
                <w:color w:val="000000"/>
                <w:sz w:val="21"/>
                <w:szCs w:val="21"/>
                <w:highlight w:val="none"/>
              </w:rPr>
              <w:t>评审项目</w:t>
            </w:r>
          </w:p>
        </w:tc>
        <w:tc>
          <w:tcPr>
            <w:tcW w:w="954" w:type="dxa"/>
            <w:noWrap w:val="0"/>
            <w:vAlign w:val="center"/>
          </w:tcPr>
          <w:p>
            <w:pPr>
              <w:jc w:val="center"/>
              <w:rPr>
                <w:color w:val="000000"/>
                <w:sz w:val="21"/>
                <w:szCs w:val="21"/>
                <w:highlight w:val="none"/>
              </w:rPr>
            </w:pPr>
            <w:r>
              <w:rPr>
                <w:color w:val="000000"/>
                <w:sz w:val="21"/>
                <w:szCs w:val="21"/>
                <w:highlight w:val="none"/>
              </w:rPr>
              <w:t>分值</w:t>
            </w:r>
          </w:p>
        </w:tc>
        <w:tc>
          <w:tcPr>
            <w:tcW w:w="4771" w:type="dxa"/>
            <w:noWrap w:val="0"/>
            <w:vAlign w:val="center"/>
          </w:tcPr>
          <w:p>
            <w:pPr>
              <w:jc w:val="center"/>
              <w:rPr>
                <w:color w:val="000000"/>
                <w:sz w:val="21"/>
                <w:szCs w:val="21"/>
                <w:highlight w:val="none"/>
              </w:rPr>
            </w:pPr>
            <w:r>
              <w:rPr>
                <w:color w:val="000000"/>
                <w:sz w:val="21"/>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16" w:type="dxa"/>
            <w:noWrap w:val="0"/>
            <w:vAlign w:val="center"/>
          </w:tcPr>
          <w:p>
            <w:pPr>
              <w:jc w:val="center"/>
              <w:rPr>
                <w:color w:val="000000"/>
                <w:sz w:val="21"/>
                <w:szCs w:val="21"/>
                <w:highlight w:val="none"/>
              </w:rPr>
            </w:pPr>
            <w:r>
              <w:rPr>
                <w:color w:val="000000"/>
                <w:sz w:val="21"/>
                <w:szCs w:val="21"/>
                <w:highlight w:val="none"/>
              </w:rPr>
              <w:t>投标报价</w:t>
            </w:r>
          </w:p>
        </w:tc>
        <w:tc>
          <w:tcPr>
            <w:tcW w:w="954" w:type="dxa"/>
            <w:noWrap w:val="0"/>
            <w:vAlign w:val="center"/>
          </w:tcPr>
          <w:p>
            <w:pPr>
              <w:jc w:val="center"/>
              <w:rPr>
                <w:color w:val="000000"/>
                <w:sz w:val="21"/>
                <w:szCs w:val="21"/>
                <w:highlight w:val="none"/>
              </w:rPr>
            </w:pPr>
            <w:r>
              <w:rPr>
                <w:rFonts w:hint="eastAsia" w:cs="宋体"/>
                <w:color w:val="000000"/>
                <w:sz w:val="21"/>
                <w:szCs w:val="21"/>
                <w:highlight w:val="none"/>
                <w:u w:val="single"/>
                <w:lang w:val="en-US" w:eastAsia="zh-CN"/>
              </w:rPr>
              <w:t>34</w:t>
            </w:r>
            <w:r>
              <w:rPr>
                <w:rFonts w:hint="eastAsia" w:ascii="宋体" w:hAnsi="宋体" w:cs="宋体"/>
                <w:color w:val="000000"/>
                <w:sz w:val="21"/>
                <w:szCs w:val="21"/>
                <w:highlight w:val="none"/>
              </w:rPr>
              <w:t>分</w:t>
            </w:r>
          </w:p>
        </w:tc>
        <w:tc>
          <w:tcPr>
            <w:tcW w:w="4771" w:type="dxa"/>
            <w:noWrap w:val="0"/>
            <w:vAlign w:val="center"/>
          </w:tcPr>
          <w:p>
            <w:pPr>
              <w:jc w:val="left"/>
              <w:rPr>
                <w:rFonts w:hint="eastAsia"/>
                <w:color w:val="000000"/>
                <w:sz w:val="21"/>
                <w:szCs w:val="21"/>
                <w:highlight w:val="none"/>
              </w:rPr>
            </w:pPr>
            <w:r>
              <w:rPr>
                <w:rFonts w:hint="eastAsia"/>
                <w:color w:val="000000"/>
                <w:sz w:val="21"/>
                <w:szCs w:val="21"/>
                <w:highlight w:val="none"/>
              </w:rPr>
              <w:t>本项评审步骤：</w:t>
            </w:r>
          </w:p>
          <w:p>
            <w:pPr>
              <w:jc w:val="left"/>
              <w:rPr>
                <w:rFonts w:hint="eastAsia"/>
                <w:color w:val="000000"/>
                <w:sz w:val="21"/>
                <w:szCs w:val="21"/>
                <w:highlight w:val="none"/>
              </w:rPr>
            </w:pPr>
            <w:r>
              <w:rPr>
                <w:rFonts w:hint="eastAsia"/>
                <w:color w:val="000000"/>
                <w:sz w:val="21"/>
                <w:szCs w:val="21"/>
                <w:highlight w:val="none"/>
              </w:rPr>
              <w:t>1.评标价的确认：评标委员会对所有实质性响应招标文件要求的投标报价进行核查、调整，包括根据本招标文件规定的政府采购政策进行的价格扣除。</w:t>
            </w:r>
          </w:p>
          <w:p>
            <w:pPr>
              <w:jc w:val="left"/>
              <w:rPr>
                <w:rFonts w:hint="eastAsia"/>
                <w:color w:val="000000"/>
                <w:sz w:val="21"/>
                <w:szCs w:val="21"/>
                <w:highlight w:val="none"/>
              </w:rPr>
            </w:pPr>
            <w:r>
              <w:rPr>
                <w:rFonts w:hint="eastAsia"/>
                <w:color w:val="000000"/>
                <w:sz w:val="21"/>
                <w:szCs w:val="21"/>
                <w:highlight w:val="none"/>
              </w:rPr>
              <w:t>1.1价格调整：如供应商对招标文件的内容，特别是对招标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pPr>
              <w:jc w:val="left"/>
              <w:rPr>
                <w:rFonts w:hint="eastAsia"/>
                <w:color w:val="000000"/>
                <w:sz w:val="21"/>
                <w:szCs w:val="21"/>
                <w:highlight w:val="none"/>
              </w:rPr>
            </w:pPr>
            <w:r>
              <w:rPr>
                <w:rFonts w:hint="eastAsia"/>
                <w:color w:val="000000"/>
                <w:sz w:val="21"/>
                <w:szCs w:val="21"/>
                <w:highlight w:val="none"/>
              </w:rPr>
              <w:t>2.评标基准价：评标价最低的为评标基准价。</w:t>
            </w:r>
          </w:p>
          <w:p>
            <w:pPr>
              <w:jc w:val="left"/>
              <w:rPr>
                <w:rFonts w:hint="eastAsia"/>
                <w:color w:val="000000"/>
                <w:sz w:val="21"/>
                <w:szCs w:val="21"/>
                <w:highlight w:val="none"/>
              </w:rPr>
            </w:pPr>
            <w:r>
              <w:rPr>
                <w:rFonts w:hint="eastAsia"/>
                <w:color w:val="000000"/>
                <w:sz w:val="21"/>
                <w:szCs w:val="21"/>
                <w:highlight w:val="none"/>
              </w:rPr>
              <w:t>3.投标报价得分计算：评标价为评标基准价的得满分3</w:t>
            </w:r>
            <w:r>
              <w:rPr>
                <w:rFonts w:hint="eastAsia"/>
                <w:color w:val="000000"/>
                <w:sz w:val="21"/>
                <w:szCs w:val="21"/>
                <w:highlight w:val="none"/>
                <w:lang w:val="en-US" w:eastAsia="zh-CN"/>
              </w:rPr>
              <w:t>4</w:t>
            </w:r>
            <w:r>
              <w:rPr>
                <w:rFonts w:hint="eastAsia"/>
                <w:color w:val="000000"/>
                <w:sz w:val="21"/>
                <w:szCs w:val="21"/>
                <w:highlight w:val="none"/>
              </w:rPr>
              <w:t>分。其他供应商的投标报价得分统一按下列公式计算：投标报价得分=（评标基准价/评标价）*3</w:t>
            </w:r>
            <w:r>
              <w:rPr>
                <w:rFonts w:hint="eastAsia"/>
                <w:color w:val="000000"/>
                <w:sz w:val="21"/>
                <w:szCs w:val="21"/>
                <w:highlight w:val="none"/>
                <w:lang w:val="en-US" w:eastAsia="zh-CN"/>
              </w:rPr>
              <w:t>4</w:t>
            </w:r>
            <w:r>
              <w:rPr>
                <w:rFonts w:hint="eastAsia"/>
                <w:color w:val="000000"/>
                <w:sz w:val="21"/>
                <w:szCs w:val="21"/>
                <w:highlight w:val="none"/>
              </w:rPr>
              <w:t>。</w:t>
            </w:r>
          </w:p>
          <w:p>
            <w:pPr>
              <w:jc w:val="left"/>
              <w:rPr>
                <w:rFonts w:hint="eastAsia"/>
                <w:color w:val="000000"/>
                <w:sz w:val="21"/>
                <w:szCs w:val="21"/>
                <w:highlight w:val="none"/>
              </w:rPr>
            </w:pPr>
            <w:r>
              <w:rPr>
                <w:rFonts w:hint="eastAsia"/>
                <w:color w:val="000000"/>
                <w:sz w:val="21"/>
                <w:szCs w:val="21"/>
                <w:highlight w:val="none"/>
              </w:rPr>
              <w:t>4.有漏项报价的供应商，在按上述公式计算出其投标报价得分基础上，其漏项报价每低于投标调整价1%，再扣1分，得出该供应商的投标报价最终得分。若其最终中标，则中标价格为其投标报价，供应商应无异议，否则视该投标为无效投标。</w:t>
            </w:r>
          </w:p>
          <w:p>
            <w:pPr>
              <w:jc w:val="left"/>
              <w:rPr>
                <w:color w:val="000000"/>
                <w:sz w:val="21"/>
                <w:szCs w:val="21"/>
                <w:highlight w:val="none"/>
              </w:rPr>
            </w:pPr>
            <w:r>
              <w:rPr>
                <w:rFonts w:hint="eastAsia"/>
                <w:color w:val="000000"/>
                <w:sz w:val="21"/>
                <w:szCs w:val="21"/>
                <w:highlight w:val="none"/>
              </w:rPr>
              <w:t>注：评标价（含一个或同时多个）低于其他有效供应商的评标价平均值50%时，评标委员会应当要求该供应商作出书面说明并提供相关证明材料。该供应商不能合理说明或不能提供相关证明材料的，视作该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16" w:type="dxa"/>
            <w:noWrap w:val="0"/>
            <w:vAlign w:val="center"/>
          </w:tcPr>
          <w:p>
            <w:pPr>
              <w:ind w:left="0" w:leftChars="0" w:right="0" w:rightChars="0"/>
              <w:jc w:val="center"/>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业绩</w:t>
            </w:r>
          </w:p>
        </w:tc>
        <w:tc>
          <w:tcPr>
            <w:tcW w:w="954" w:type="dxa"/>
            <w:noWrap w:val="0"/>
            <w:vAlign w:val="center"/>
          </w:tcPr>
          <w:p>
            <w:pPr>
              <w:ind w:left="0" w:leftChars="0" w:right="0" w:rightChars="0"/>
              <w:jc w:val="center"/>
              <w:rPr>
                <w:rFonts w:hint="eastAsia" w:ascii="宋体" w:hAnsi="宋体" w:eastAsia="宋体" w:cs="宋体"/>
                <w:sz w:val="21"/>
                <w:szCs w:val="21"/>
                <w:highlight w:val="none"/>
                <w:lang w:val="en-US" w:eastAsia="zh-CN" w:bidi="zh-CN"/>
              </w:rPr>
            </w:pPr>
            <w:r>
              <w:rPr>
                <w:rFonts w:hint="eastAsia" w:ascii="宋体" w:hAnsi="宋体" w:eastAsia="宋体" w:cs="宋体"/>
                <w:color w:val="000000"/>
                <w:sz w:val="21"/>
                <w:szCs w:val="21"/>
                <w:highlight w:val="none"/>
                <w:u w:val="single"/>
                <w:lang w:val="en-US" w:eastAsia="zh-CN"/>
              </w:rPr>
              <w:t>6</w:t>
            </w:r>
            <w:r>
              <w:rPr>
                <w:rFonts w:hint="eastAsia" w:ascii="宋体" w:hAnsi="宋体" w:eastAsia="宋体" w:cs="宋体"/>
                <w:sz w:val="21"/>
                <w:szCs w:val="21"/>
                <w:highlight w:val="none"/>
              </w:rPr>
              <w:t>分</w:t>
            </w:r>
          </w:p>
        </w:tc>
        <w:tc>
          <w:tcPr>
            <w:tcW w:w="4771" w:type="dxa"/>
            <w:noWrap w:val="0"/>
            <w:vAlign w:val="center"/>
          </w:tcPr>
          <w:p>
            <w:pPr>
              <w:ind w:left="0" w:leftChars="0" w:right="0" w:rightChars="0"/>
              <w:jc w:val="left"/>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rPr>
              <w:t>提供所投设备同品牌同系列产品业绩合同，有一项加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加满为止。（投标文件中须提供业绩合同，扫描件应能辨识买卖双方公章、标的信息；如业绩合同不能体现以上全部内容，可提供业绩合同甲方盖公章的证明扫描件。否则，不得分。投标供应商与其关联公司（单位负责人为同一人或者存在直接控股、管理关系的不同供应商）之间签订的合同，均不予认可。）</w:t>
            </w:r>
          </w:p>
        </w:tc>
      </w:tr>
    </w:tbl>
    <w:p>
      <w:pPr>
        <w:pStyle w:val="12"/>
        <w:numPr>
          <w:ilvl w:val="0"/>
          <w:numId w:val="0"/>
        </w:numPr>
        <w:tabs>
          <w:tab w:val="left" w:pos="1346"/>
        </w:tabs>
        <w:spacing w:before="130" w:after="0" w:line="357" w:lineRule="auto"/>
        <w:ind w:left="819" w:leftChars="0" w:right="691" w:rightChars="0"/>
        <w:jc w:val="left"/>
        <w:rPr>
          <w:rFonts w:hint="eastAsia"/>
          <w:color w:val="000000"/>
          <w:spacing w:val="-8"/>
          <w:sz w:val="21"/>
          <w:szCs w:val="21"/>
          <w:highlight w:val="none"/>
          <w:lang w:eastAsia="zh-CN"/>
        </w:rPr>
      </w:pPr>
    </w:p>
    <w:tbl>
      <w:tblPr>
        <w:tblStyle w:val="9"/>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noWrap w:val="0"/>
            <w:vAlign w:val="top"/>
          </w:tcPr>
          <w:p>
            <w:pPr>
              <w:pStyle w:val="12"/>
              <w:numPr>
                <w:ilvl w:val="0"/>
                <w:numId w:val="0"/>
              </w:numPr>
              <w:tabs>
                <w:tab w:val="left" w:pos="1346"/>
              </w:tabs>
              <w:spacing w:before="130" w:after="0" w:line="357" w:lineRule="auto"/>
              <w:ind w:right="691" w:rightChars="0"/>
              <w:jc w:val="left"/>
              <w:rPr>
                <w:color w:val="000000"/>
                <w:sz w:val="21"/>
                <w:szCs w:val="21"/>
                <w:highlight w:val="none"/>
              </w:rPr>
            </w:pPr>
            <w:r>
              <w:rPr>
                <w:rFonts w:hint="eastAsia"/>
                <w:color w:val="000000"/>
                <w:spacing w:val="-8"/>
                <w:sz w:val="21"/>
                <w:szCs w:val="21"/>
                <w:highlight w:val="none"/>
                <w:lang w:eastAsia="zh-CN"/>
              </w:rPr>
              <w:t>注：</w:t>
            </w:r>
            <w:r>
              <w:rPr>
                <w:color w:val="000000"/>
                <w:spacing w:val="-8"/>
                <w:sz w:val="21"/>
                <w:szCs w:val="21"/>
                <w:highlight w:val="none"/>
              </w:rPr>
              <w:t>投标报价有算术错误及其他错误的，评标委员会按以下原则要求投标人对投标报价进</w:t>
            </w:r>
            <w:r>
              <w:rPr>
                <w:color w:val="000000"/>
                <w:spacing w:val="-3"/>
                <w:sz w:val="21"/>
                <w:szCs w:val="21"/>
                <w:highlight w:val="none"/>
              </w:rPr>
              <w:t>行修正，并要求投标人书面澄清确认。投标人拒不澄清确认的，评标委员会应当否决其投标：</w:t>
            </w:r>
          </w:p>
          <w:p>
            <w:pPr>
              <w:pStyle w:val="12"/>
              <w:numPr>
                <w:ilvl w:val="0"/>
                <w:numId w:val="0"/>
              </w:numPr>
              <w:tabs>
                <w:tab w:val="left" w:pos="1350"/>
              </w:tabs>
              <w:spacing w:before="0" w:after="0" w:line="269" w:lineRule="exact"/>
              <w:ind w:right="0" w:rightChars="0"/>
              <w:jc w:val="left"/>
              <w:rPr>
                <w:color w:val="000000"/>
                <w:sz w:val="21"/>
                <w:szCs w:val="21"/>
                <w:highlight w:val="none"/>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1</w:t>
            </w:r>
            <w:r>
              <w:rPr>
                <w:rFonts w:hint="eastAsia"/>
                <w:color w:val="000000"/>
                <w:spacing w:val="-3"/>
                <w:sz w:val="21"/>
                <w:szCs w:val="21"/>
                <w:highlight w:val="none"/>
                <w:lang w:eastAsia="zh-CN"/>
              </w:rPr>
              <w:t>）</w:t>
            </w:r>
            <w:r>
              <w:rPr>
                <w:color w:val="000000"/>
                <w:spacing w:val="-3"/>
                <w:sz w:val="21"/>
                <w:szCs w:val="21"/>
                <w:highlight w:val="none"/>
              </w:rPr>
              <w:t>投标文件中的大写金额与小写金额不一致的，以大写金额为准；</w:t>
            </w:r>
          </w:p>
          <w:p>
            <w:pPr>
              <w:pStyle w:val="12"/>
              <w:numPr>
                <w:ilvl w:val="0"/>
                <w:numId w:val="0"/>
              </w:numPr>
              <w:tabs>
                <w:tab w:val="left" w:pos="1347"/>
              </w:tabs>
              <w:spacing w:before="129" w:after="0" w:line="357" w:lineRule="auto"/>
              <w:ind w:right="693"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2</w:t>
            </w:r>
            <w:r>
              <w:rPr>
                <w:rFonts w:hint="eastAsia"/>
                <w:color w:val="000000"/>
                <w:spacing w:val="-6"/>
                <w:sz w:val="21"/>
                <w:szCs w:val="21"/>
                <w:highlight w:val="none"/>
                <w:lang w:eastAsia="zh-CN"/>
              </w:rPr>
              <w:t>）</w:t>
            </w:r>
            <w:r>
              <w:rPr>
                <w:color w:val="000000"/>
                <w:spacing w:val="-6"/>
                <w:sz w:val="21"/>
                <w:szCs w:val="21"/>
                <w:highlight w:val="none"/>
              </w:rPr>
              <w:t>总价金额与单价金额不一致的，以单价金额为准，但单价金额小数点有明显错误的</w:t>
            </w:r>
            <w:r>
              <w:rPr>
                <w:color w:val="000000"/>
                <w:sz w:val="21"/>
                <w:szCs w:val="21"/>
                <w:highlight w:val="none"/>
              </w:rPr>
              <w:t>除外；</w:t>
            </w:r>
          </w:p>
          <w:p>
            <w:pPr>
              <w:pStyle w:val="12"/>
              <w:numPr>
                <w:ilvl w:val="0"/>
                <w:numId w:val="0"/>
              </w:numPr>
              <w:tabs>
                <w:tab w:val="left" w:pos="1347"/>
              </w:tabs>
              <w:spacing w:before="0" w:after="0" w:line="355" w:lineRule="auto"/>
              <w:ind w:right="691" w:rightChars="0"/>
              <w:jc w:val="left"/>
              <w:rPr>
                <w:color w:val="000000"/>
                <w:sz w:val="21"/>
                <w:szCs w:val="21"/>
                <w:highlight w:val="none"/>
              </w:rPr>
            </w:pPr>
            <w:r>
              <w:rPr>
                <w:rFonts w:hint="eastAsia"/>
                <w:color w:val="000000"/>
                <w:spacing w:val="-6"/>
                <w:sz w:val="21"/>
                <w:szCs w:val="21"/>
                <w:highlight w:val="none"/>
                <w:lang w:eastAsia="zh-CN"/>
              </w:rPr>
              <w:t>（</w:t>
            </w:r>
            <w:r>
              <w:rPr>
                <w:rFonts w:hint="eastAsia"/>
                <w:color w:val="000000"/>
                <w:spacing w:val="-6"/>
                <w:sz w:val="21"/>
                <w:szCs w:val="21"/>
                <w:highlight w:val="none"/>
                <w:lang w:val="en-US" w:eastAsia="zh-CN"/>
              </w:rPr>
              <w:t>3</w:t>
            </w:r>
            <w:r>
              <w:rPr>
                <w:rFonts w:hint="eastAsia"/>
                <w:color w:val="000000"/>
                <w:spacing w:val="-6"/>
                <w:sz w:val="21"/>
                <w:szCs w:val="21"/>
                <w:highlight w:val="none"/>
                <w:lang w:eastAsia="zh-CN"/>
              </w:rPr>
              <w:t>）</w:t>
            </w:r>
            <w:r>
              <w:rPr>
                <w:color w:val="000000"/>
                <w:spacing w:val="-6"/>
                <w:sz w:val="21"/>
                <w:szCs w:val="21"/>
                <w:highlight w:val="none"/>
              </w:rPr>
              <w:t>投标报价为各分项报价金额之和，投标报价与分项报价的合价不一致的，应以各分</w:t>
            </w:r>
            <w:r>
              <w:rPr>
                <w:color w:val="000000"/>
                <w:spacing w:val="-5"/>
                <w:sz w:val="21"/>
                <w:szCs w:val="21"/>
                <w:highlight w:val="none"/>
              </w:rPr>
              <w:t>项合价累计数为准，修正投标报价；</w:t>
            </w:r>
          </w:p>
          <w:p>
            <w:pPr>
              <w:pStyle w:val="12"/>
              <w:numPr>
                <w:ilvl w:val="0"/>
                <w:numId w:val="0"/>
              </w:numPr>
              <w:tabs>
                <w:tab w:val="left" w:pos="1350"/>
              </w:tabs>
              <w:spacing w:before="3" w:after="0" w:line="240" w:lineRule="auto"/>
              <w:ind w:right="0" w:rightChars="0"/>
              <w:jc w:val="left"/>
              <w:rPr>
                <w:rFonts w:hint="eastAsia"/>
                <w:color w:val="000000"/>
                <w:spacing w:val="-8"/>
                <w:sz w:val="21"/>
                <w:szCs w:val="21"/>
                <w:highlight w:val="none"/>
                <w:vertAlign w:val="baseline"/>
                <w:lang w:eastAsia="zh-CN"/>
              </w:rPr>
            </w:pPr>
            <w:r>
              <w:rPr>
                <w:rFonts w:hint="eastAsia"/>
                <w:color w:val="000000"/>
                <w:spacing w:val="-3"/>
                <w:sz w:val="21"/>
                <w:szCs w:val="21"/>
                <w:highlight w:val="none"/>
                <w:lang w:eastAsia="zh-CN"/>
              </w:rPr>
              <w:t>（</w:t>
            </w:r>
            <w:r>
              <w:rPr>
                <w:rFonts w:hint="eastAsia"/>
                <w:color w:val="000000"/>
                <w:spacing w:val="-3"/>
                <w:sz w:val="21"/>
                <w:szCs w:val="21"/>
                <w:highlight w:val="none"/>
                <w:lang w:val="en-US" w:eastAsia="zh-CN"/>
              </w:rPr>
              <w:t>4</w:t>
            </w:r>
            <w:r>
              <w:rPr>
                <w:rFonts w:hint="eastAsia"/>
                <w:color w:val="000000"/>
                <w:spacing w:val="-3"/>
                <w:sz w:val="21"/>
                <w:szCs w:val="21"/>
                <w:highlight w:val="none"/>
                <w:lang w:eastAsia="zh-CN"/>
              </w:rPr>
              <w:t>）</w:t>
            </w:r>
            <w:r>
              <w:rPr>
                <w:color w:val="000000"/>
                <w:spacing w:val="-3"/>
                <w:sz w:val="21"/>
                <w:szCs w:val="21"/>
                <w:highlight w:val="none"/>
              </w:rPr>
              <w:t>如果分项报价中存在缺漏项，则视为缺漏项价格已包含在其他分项报价之中。</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3.3技术标评审内容及标准（</w:t>
      </w:r>
      <w:r>
        <w:rPr>
          <w:rFonts w:hint="eastAsia"/>
          <w:color w:val="000000"/>
          <w:sz w:val="21"/>
          <w:szCs w:val="21"/>
          <w:highlight w:val="none"/>
          <w:u w:val="single"/>
          <w:lang w:val="en-US" w:eastAsia="zh-CN"/>
        </w:rPr>
        <w:t>60</w:t>
      </w:r>
      <w:r>
        <w:rPr>
          <w:rFonts w:hint="eastAsia" w:ascii="宋体" w:hAnsi="宋体"/>
          <w:color w:val="000000"/>
          <w:sz w:val="21"/>
          <w:szCs w:val="21"/>
          <w:highlight w:val="none"/>
        </w:rPr>
        <w:t>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1"/>
        <w:gridCol w:w="1275"/>
        <w:gridCol w:w="954"/>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6" w:type="dxa"/>
            <w:gridSpan w:val="2"/>
            <w:noWrap w:val="0"/>
            <w:vAlign w:val="center"/>
          </w:tcPr>
          <w:p>
            <w:pPr>
              <w:jc w:val="center"/>
              <w:rPr>
                <w:rFonts w:hint="eastAsia"/>
                <w:sz w:val="21"/>
                <w:szCs w:val="21"/>
              </w:rPr>
            </w:pPr>
            <w:r>
              <w:rPr>
                <w:rFonts w:hint="eastAsia"/>
                <w:sz w:val="21"/>
                <w:szCs w:val="21"/>
              </w:rPr>
              <w:t>评审项目</w:t>
            </w:r>
          </w:p>
        </w:tc>
        <w:tc>
          <w:tcPr>
            <w:tcW w:w="954" w:type="dxa"/>
            <w:noWrap w:val="0"/>
            <w:vAlign w:val="center"/>
          </w:tcPr>
          <w:p>
            <w:pPr>
              <w:jc w:val="center"/>
              <w:rPr>
                <w:rFonts w:hint="eastAsia"/>
                <w:sz w:val="21"/>
                <w:szCs w:val="21"/>
              </w:rPr>
            </w:pPr>
            <w:r>
              <w:rPr>
                <w:rFonts w:hint="eastAsia"/>
                <w:sz w:val="21"/>
                <w:szCs w:val="21"/>
              </w:rPr>
              <w:t>分值</w:t>
            </w:r>
          </w:p>
        </w:tc>
        <w:tc>
          <w:tcPr>
            <w:tcW w:w="4771" w:type="dxa"/>
            <w:noWrap w:val="0"/>
            <w:vAlign w:val="center"/>
          </w:tcPr>
          <w:p>
            <w:pPr>
              <w:jc w:val="center"/>
              <w:rPr>
                <w:rFonts w:hint="eastAsia"/>
                <w:sz w:val="21"/>
                <w:szCs w:val="21"/>
              </w:rPr>
            </w:pPr>
            <w:r>
              <w:rPr>
                <w:rFonts w:hint="eastAsia"/>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restart"/>
            <w:noWrap w:val="0"/>
            <w:vAlign w:val="center"/>
          </w:tcPr>
          <w:p>
            <w:pPr>
              <w:rPr>
                <w:rFonts w:hint="eastAsia"/>
                <w:sz w:val="21"/>
                <w:szCs w:val="21"/>
              </w:rPr>
            </w:pPr>
          </w:p>
        </w:tc>
        <w:tc>
          <w:tcPr>
            <w:tcW w:w="1275" w:type="dxa"/>
            <w:noWrap w:val="0"/>
            <w:vAlign w:val="center"/>
          </w:tcPr>
          <w:p>
            <w:pPr>
              <w:jc w:val="center"/>
              <w:rPr>
                <w:rFonts w:hint="default" w:eastAsia="宋体"/>
                <w:sz w:val="21"/>
                <w:szCs w:val="21"/>
                <w:lang w:val="en-US" w:eastAsia="zh-CN"/>
              </w:rPr>
            </w:pPr>
            <w:r>
              <w:rPr>
                <w:rFonts w:hint="eastAsia"/>
                <w:sz w:val="21"/>
                <w:szCs w:val="21"/>
                <w:lang w:val="en-US" w:eastAsia="zh-CN"/>
              </w:rPr>
              <w:t>投标产品对招标文件响应程度</w:t>
            </w:r>
          </w:p>
        </w:tc>
        <w:tc>
          <w:tcPr>
            <w:tcW w:w="954" w:type="dxa"/>
            <w:noWrap w:val="0"/>
            <w:vAlign w:val="center"/>
          </w:tcPr>
          <w:p>
            <w:pPr>
              <w:jc w:val="center"/>
              <w:rPr>
                <w:rFonts w:hint="eastAsia"/>
                <w:sz w:val="21"/>
                <w:szCs w:val="21"/>
                <w:lang w:val="en-US"/>
              </w:rPr>
            </w:pPr>
            <w:r>
              <w:rPr>
                <w:rFonts w:hint="eastAsia"/>
                <w:sz w:val="21"/>
                <w:szCs w:val="21"/>
                <w:lang w:val="en-US" w:eastAsia="zh-CN"/>
              </w:rPr>
              <w:t>18</w:t>
            </w:r>
            <w:r>
              <w:rPr>
                <w:rFonts w:hint="eastAsia"/>
                <w:sz w:val="21"/>
                <w:szCs w:val="21"/>
              </w:rPr>
              <w:t>分</w:t>
            </w:r>
          </w:p>
        </w:tc>
        <w:tc>
          <w:tcPr>
            <w:tcW w:w="4771" w:type="dxa"/>
            <w:noWrap w:val="0"/>
            <w:vAlign w:val="center"/>
          </w:tcPr>
          <w:p>
            <w:pPr>
              <w:wordWrap w:val="0"/>
              <w:rPr>
                <w:rFonts w:hint="eastAsia"/>
                <w:sz w:val="21"/>
                <w:szCs w:val="21"/>
              </w:rPr>
            </w:pPr>
            <w:r>
              <w:rPr>
                <w:rFonts w:hint="eastAsia"/>
                <w:sz w:val="21"/>
                <w:szCs w:val="21"/>
              </w:rPr>
              <w:t>根据投标文件与招标文件要求的其它技术参数（未标记“*”的技术参数）偏离情况进行评分。</w:t>
            </w:r>
          </w:p>
          <w:p>
            <w:pPr>
              <w:wordWrap w:val="0"/>
              <w:rPr>
                <w:rFonts w:hint="eastAsia"/>
                <w:sz w:val="21"/>
                <w:szCs w:val="21"/>
                <w:lang w:val="en-US"/>
              </w:rPr>
            </w:pPr>
            <w:r>
              <w:rPr>
                <w:rFonts w:hint="eastAsia"/>
                <w:sz w:val="21"/>
                <w:szCs w:val="21"/>
              </w:rPr>
              <w:t>各项性能指标全部满足招标文件要求的得满分；与招标文件要求有非实质性负偏离的（以投标文件技术规格偏离表载明的为准），有一项扣</w:t>
            </w:r>
            <w:r>
              <w:rPr>
                <w:rFonts w:hint="eastAsia"/>
                <w:sz w:val="21"/>
                <w:szCs w:val="21"/>
                <w:u w:val="single"/>
                <w:lang w:val="en-US" w:eastAsia="zh-CN"/>
              </w:rPr>
              <w:t xml:space="preserve">  </w:t>
            </w:r>
            <w:r>
              <w:rPr>
                <w:rFonts w:hint="eastAsia"/>
                <w:sz w:val="21"/>
                <w:szCs w:val="21"/>
              </w:rPr>
              <w:t>分，共</w:t>
            </w:r>
            <w:r>
              <w:rPr>
                <w:rFonts w:hint="eastAsia"/>
                <w:sz w:val="21"/>
                <w:szCs w:val="21"/>
                <w:u w:val="single"/>
                <w:lang w:val="en-US" w:eastAsia="zh-CN"/>
              </w:rPr>
              <w:t>29</w:t>
            </w:r>
            <w:r>
              <w:rPr>
                <w:rFonts w:hint="eastAsia"/>
                <w:sz w:val="21"/>
                <w:szCs w:val="21"/>
              </w:rPr>
              <w:t>项，共</w:t>
            </w:r>
            <w:r>
              <w:rPr>
                <w:rFonts w:hint="eastAsia"/>
                <w:sz w:val="21"/>
                <w:szCs w:val="21"/>
                <w:u w:val="single"/>
                <w:lang w:val="en-US"/>
              </w:rPr>
              <w:t>1</w:t>
            </w:r>
            <w:r>
              <w:rPr>
                <w:rFonts w:hint="eastAsia"/>
                <w:sz w:val="21"/>
                <w:szCs w:val="21"/>
                <w:u w:val="single"/>
                <w:lang w:val="en-US" w:eastAsia="zh-CN"/>
              </w:rPr>
              <w:t>8</w:t>
            </w:r>
            <w:r>
              <w:rPr>
                <w:rFonts w:hint="eastAsia"/>
                <w:sz w:val="21"/>
                <w:szCs w:val="21"/>
              </w:rPr>
              <w:t>分。（同一项参数不重复扣分）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投标产品生产加工工艺及制造水平</w:t>
            </w:r>
          </w:p>
        </w:tc>
        <w:tc>
          <w:tcPr>
            <w:tcW w:w="954" w:type="dxa"/>
            <w:noWrap w:val="0"/>
            <w:vAlign w:val="center"/>
          </w:tcPr>
          <w:p>
            <w:pPr>
              <w:jc w:val="center"/>
              <w:rPr>
                <w:rFonts w:hint="eastAsia"/>
                <w:sz w:val="21"/>
                <w:szCs w:val="21"/>
              </w:rPr>
            </w:pPr>
            <w:r>
              <w:rPr>
                <w:rFonts w:hint="eastAsia"/>
                <w:sz w:val="21"/>
                <w:szCs w:val="21"/>
              </w:rPr>
              <w:t>9.00</w:t>
            </w:r>
          </w:p>
        </w:tc>
        <w:tc>
          <w:tcPr>
            <w:tcW w:w="4771" w:type="dxa"/>
            <w:noWrap w:val="0"/>
            <w:vAlign w:val="center"/>
          </w:tcPr>
          <w:p>
            <w:pPr>
              <w:wordWrap w:val="0"/>
              <w:rPr>
                <w:rFonts w:hint="eastAsia"/>
                <w:sz w:val="21"/>
                <w:szCs w:val="21"/>
              </w:rPr>
            </w:pPr>
            <w:r>
              <w:rPr>
                <w:rFonts w:hint="eastAsia"/>
                <w:sz w:val="21"/>
                <w:szCs w:val="21"/>
              </w:rPr>
              <w:t>根据投标产品的生产制造工艺情况，包括生产过程控制、生产工艺、质量管理的情况，制造装备的配备等内容进行评审。</w:t>
            </w:r>
          </w:p>
          <w:p>
            <w:pPr>
              <w:wordWrap w:val="0"/>
              <w:rPr>
                <w:rFonts w:hint="eastAsia"/>
                <w:sz w:val="21"/>
                <w:szCs w:val="21"/>
              </w:rPr>
            </w:pPr>
            <w:r>
              <w:rPr>
                <w:rFonts w:hint="eastAsia"/>
                <w:sz w:val="21"/>
                <w:szCs w:val="21"/>
              </w:rPr>
              <w:t>（1）生产过程控制严格，生产工艺先进，有严格的质量管理方案的，制造装备配备先进得</w:t>
            </w:r>
            <w:r>
              <w:rPr>
                <w:rFonts w:hint="eastAsia"/>
                <w:sz w:val="21"/>
                <w:szCs w:val="21"/>
                <w:lang w:val="en-US"/>
              </w:rPr>
              <w:t>9</w:t>
            </w:r>
            <w:r>
              <w:rPr>
                <w:rFonts w:hint="eastAsia"/>
                <w:sz w:val="21"/>
                <w:szCs w:val="21"/>
              </w:rPr>
              <w:t>分；</w:t>
            </w:r>
          </w:p>
          <w:p>
            <w:pPr>
              <w:wordWrap w:val="0"/>
              <w:rPr>
                <w:rFonts w:hint="eastAsia"/>
                <w:sz w:val="21"/>
                <w:szCs w:val="21"/>
              </w:rPr>
            </w:pPr>
            <w:r>
              <w:rPr>
                <w:rFonts w:hint="eastAsia"/>
                <w:sz w:val="21"/>
                <w:szCs w:val="21"/>
              </w:rPr>
              <w:t>（2）生产过程控制一般，生产工艺达到通用水平，有质量管理方案，制造装备配备达到通用水平，得</w:t>
            </w:r>
            <w:r>
              <w:rPr>
                <w:rFonts w:hint="eastAsia"/>
                <w:sz w:val="21"/>
                <w:szCs w:val="21"/>
                <w:lang w:val="en-US"/>
              </w:rPr>
              <w:t>6</w:t>
            </w:r>
            <w:r>
              <w:rPr>
                <w:rFonts w:hint="eastAsia"/>
                <w:sz w:val="21"/>
                <w:szCs w:val="21"/>
              </w:rPr>
              <w:t>分；</w:t>
            </w:r>
          </w:p>
          <w:p>
            <w:pPr>
              <w:wordWrap w:val="0"/>
              <w:rPr>
                <w:rFonts w:hint="eastAsia"/>
                <w:sz w:val="21"/>
                <w:szCs w:val="21"/>
              </w:rPr>
            </w:pPr>
            <w:r>
              <w:rPr>
                <w:rFonts w:hint="eastAsia"/>
                <w:sz w:val="21"/>
                <w:szCs w:val="21"/>
              </w:rPr>
              <w:t>（3）生产工艺能够满足需要，有质量管理方案，得</w:t>
            </w:r>
            <w:r>
              <w:rPr>
                <w:rFonts w:hint="eastAsia"/>
                <w:sz w:val="21"/>
                <w:szCs w:val="21"/>
                <w:lang w:val="en-US"/>
              </w:rPr>
              <w:t>3</w:t>
            </w:r>
            <w:r>
              <w:rPr>
                <w:rFonts w:hint="eastAsia"/>
                <w:sz w:val="21"/>
                <w:szCs w:val="21"/>
              </w:rPr>
              <w:t>分；</w:t>
            </w:r>
          </w:p>
          <w:p>
            <w:pPr>
              <w:rPr>
                <w:rFonts w:hint="eastAsia"/>
                <w:sz w:val="21"/>
                <w:szCs w:val="21"/>
              </w:rPr>
            </w:pPr>
            <w:r>
              <w:rPr>
                <w:rFonts w:hint="eastAsia"/>
                <w:sz w:val="21"/>
                <w:szCs w:val="21"/>
              </w:rPr>
              <w:t>（4）工艺落后、没有相关管理方案或制度的，不得分，未提供不得分。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投标产品故障率与使用寿命</w:t>
            </w:r>
          </w:p>
        </w:tc>
        <w:tc>
          <w:tcPr>
            <w:tcW w:w="954" w:type="dxa"/>
            <w:noWrap w:val="0"/>
            <w:vAlign w:val="center"/>
          </w:tcPr>
          <w:p>
            <w:pPr>
              <w:jc w:val="center"/>
              <w:rPr>
                <w:rFonts w:hint="eastAsia"/>
                <w:sz w:val="21"/>
                <w:szCs w:val="21"/>
              </w:rPr>
            </w:pPr>
            <w:r>
              <w:rPr>
                <w:rFonts w:hint="eastAsia"/>
                <w:sz w:val="21"/>
                <w:szCs w:val="21"/>
              </w:rPr>
              <w:t>6.00</w:t>
            </w:r>
          </w:p>
        </w:tc>
        <w:tc>
          <w:tcPr>
            <w:tcW w:w="4771" w:type="dxa"/>
            <w:noWrap w:val="0"/>
            <w:vAlign w:val="center"/>
          </w:tcPr>
          <w:p>
            <w:pPr>
              <w:rPr>
                <w:rFonts w:hint="eastAsia"/>
                <w:sz w:val="21"/>
                <w:szCs w:val="21"/>
              </w:rPr>
            </w:pPr>
            <w:r>
              <w:rPr>
                <w:rFonts w:hint="eastAsia"/>
                <w:sz w:val="21"/>
                <w:szCs w:val="21"/>
              </w:rPr>
              <w:t>评标委员会对产品故障率与使用寿命进行综合评比。</w:t>
            </w:r>
          </w:p>
          <w:p>
            <w:pPr>
              <w:pStyle w:val="7"/>
              <w:ind w:left="0" w:leftChars="0"/>
              <w:rPr>
                <w:rFonts w:hint="eastAsia"/>
                <w:sz w:val="21"/>
                <w:szCs w:val="21"/>
                <w:lang w:val="en-US"/>
              </w:rPr>
            </w:pPr>
            <w:r>
              <w:rPr>
                <w:rFonts w:hint="eastAsia"/>
                <w:sz w:val="21"/>
                <w:szCs w:val="21"/>
                <w:lang w:val="en-US"/>
              </w:rPr>
              <w:t>故障率低、使用寿命长的，得6分。</w:t>
            </w:r>
          </w:p>
          <w:p>
            <w:pPr>
              <w:pStyle w:val="7"/>
              <w:ind w:left="0" w:leftChars="0"/>
              <w:rPr>
                <w:rFonts w:hint="eastAsia"/>
                <w:sz w:val="21"/>
                <w:szCs w:val="21"/>
                <w:lang w:val="en-US"/>
              </w:rPr>
            </w:pPr>
            <w:r>
              <w:rPr>
                <w:rFonts w:hint="eastAsia"/>
                <w:sz w:val="21"/>
                <w:szCs w:val="21"/>
                <w:lang w:val="en-US"/>
              </w:rPr>
              <w:t>故障率较低、使用寿命较长的，得4分。</w:t>
            </w:r>
          </w:p>
          <w:p>
            <w:pPr>
              <w:rPr>
                <w:rFonts w:hint="eastAsia"/>
                <w:sz w:val="21"/>
                <w:szCs w:val="21"/>
                <w:lang w:val="en-US"/>
              </w:rPr>
            </w:pPr>
            <w:r>
              <w:rPr>
                <w:rFonts w:hint="eastAsia"/>
                <w:sz w:val="21"/>
                <w:szCs w:val="21"/>
                <w:lang w:val="en-US"/>
              </w:rPr>
              <w:t>故障率一般、使用寿命一般的，得2分。</w:t>
            </w:r>
          </w:p>
          <w:p>
            <w:pPr>
              <w:pStyle w:val="7"/>
              <w:ind w:left="0" w:leftChars="0"/>
              <w:rPr>
                <w:lang w:val="en-US"/>
              </w:rPr>
            </w:pPr>
            <w:r>
              <w:rPr>
                <w:rFonts w:hint="eastAsia"/>
                <w:sz w:val="21"/>
                <w:szCs w:val="21"/>
                <w:lang w:val="en-US"/>
              </w:rPr>
              <w:t>故障率高、使用寿命短的或未提供，不得分。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投标产品操作性</w:t>
            </w:r>
          </w:p>
        </w:tc>
        <w:tc>
          <w:tcPr>
            <w:tcW w:w="954" w:type="dxa"/>
            <w:noWrap w:val="0"/>
            <w:vAlign w:val="center"/>
          </w:tcPr>
          <w:p>
            <w:pPr>
              <w:jc w:val="center"/>
              <w:rPr>
                <w:rFonts w:hint="eastAsia"/>
                <w:sz w:val="21"/>
                <w:szCs w:val="21"/>
              </w:rPr>
            </w:pPr>
            <w:r>
              <w:rPr>
                <w:rFonts w:hint="eastAsia"/>
                <w:sz w:val="21"/>
                <w:szCs w:val="21"/>
              </w:rPr>
              <w:t>6.00</w:t>
            </w:r>
          </w:p>
        </w:tc>
        <w:tc>
          <w:tcPr>
            <w:tcW w:w="4771" w:type="dxa"/>
            <w:noWrap w:val="0"/>
            <w:vAlign w:val="center"/>
          </w:tcPr>
          <w:p>
            <w:pPr>
              <w:rPr>
                <w:rFonts w:hint="eastAsia"/>
                <w:sz w:val="21"/>
                <w:szCs w:val="21"/>
              </w:rPr>
            </w:pPr>
            <w:r>
              <w:rPr>
                <w:rFonts w:hint="eastAsia"/>
                <w:sz w:val="21"/>
                <w:szCs w:val="21"/>
              </w:rPr>
              <w:t>评标委员会对产品操作性进行综合评比。</w:t>
            </w:r>
          </w:p>
          <w:p>
            <w:pPr>
              <w:pStyle w:val="7"/>
              <w:ind w:left="0" w:leftChars="0"/>
              <w:rPr>
                <w:rFonts w:hint="eastAsia"/>
                <w:sz w:val="21"/>
                <w:szCs w:val="21"/>
              </w:rPr>
            </w:pPr>
            <w:r>
              <w:rPr>
                <w:rFonts w:hint="eastAsia"/>
                <w:sz w:val="21"/>
                <w:szCs w:val="21"/>
              </w:rPr>
              <w:t>产品操作性</w:t>
            </w:r>
            <w:r>
              <w:rPr>
                <w:rFonts w:hint="eastAsia"/>
                <w:sz w:val="21"/>
                <w:szCs w:val="21"/>
                <w:lang w:val="en-US"/>
              </w:rPr>
              <w:t>高的，</w:t>
            </w:r>
            <w:r>
              <w:rPr>
                <w:rFonts w:hint="eastAsia"/>
                <w:sz w:val="21"/>
                <w:szCs w:val="21"/>
              </w:rPr>
              <w:t>得</w:t>
            </w:r>
            <w:r>
              <w:rPr>
                <w:rFonts w:hint="eastAsia"/>
                <w:sz w:val="21"/>
                <w:szCs w:val="21"/>
                <w:lang w:val="en-US"/>
              </w:rPr>
              <w:t>6</w:t>
            </w:r>
            <w:r>
              <w:rPr>
                <w:rFonts w:hint="eastAsia"/>
                <w:sz w:val="21"/>
                <w:szCs w:val="21"/>
              </w:rPr>
              <w:t>分；</w:t>
            </w:r>
          </w:p>
          <w:p>
            <w:pPr>
              <w:pStyle w:val="7"/>
              <w:ind w:left="0" w:leftChars="0"/>
              <w:rPr>
                <w:rFonts w:hint="eastAsia"/>
                <w:sz w:val="21"/>
                <w:szCs w:val="21"/>
              </w:rPr>
            </w:pPr>
            <w:r>
              <w:rPr>
                <w:rFonts w:hint="eastAsia"/>
                <w:sz w:val="21"/>
                <w:szCs w:val="21"/>
              </w:rPr>
              <w:t>产品操作性</w:t>
            </w:r>
            <w:r>
              <w:rPr>
                <w:rFonts w:hint="eastAsia"/>
                <w:sz w:val="21"/>
                <w:szCs w:val="21"/>
                <w:lang w:val="en-US"/>
              </w:rPr>
              <w:t>较高的，</w:t>
            </w:r>
            <w:r>
              <w:rPr>
                <w:rFonts w:hint="eastAsia"/>
                <w:sz w:val="21"/>
                <w:szCs w:val="21"/>
              </w:rPr>
              <w:t>得</w:t>
            </w:r>
            <w:r>
              <w:rPr>
                <w:rFonts w:hint="eastAsia"/>
                <w:sz w:val="21"/>
                <w:szCs w:val="21"/>
                <w:lang w:val="en-US"/>
              </w:rPr>
              <w:t>4</w:t>
            </w:r>
            <w:r>
              <w:rPr>
                <w:rFonts w:hint="eastAsia"/>
                <w:sz w:val="21"/>
                <w:szCs w:val="21"/>
              </w:rPr>
              <w:t>分；</w:t>
            </w:r>
          </w:p>
          <w:p>
            <w:pPr>
              <w:pStyle w:val="7"/>
              <w:ind w:left="0" w:leftChars="0"/>
              <w:rPr>
                <w:rFonts w:hint="eastAsia"/>
                <w:sz w:val="21"/>
                <w:szCs w:val="21"/>
              </w:rPr>
            </w:pPr>
            <w:r>
              <w:rPr>
                <w:rFonts w:hint="eastAsia"/>
                <w:sz w:val="21"/>
                <w:szCs w:val="21"/>
              </w:rPr>
              <w:t>产品操作性</w:t>
            </w:r>
            <w:r>
              <w:rPr>
                <w:rFonts w:hint="eastAsia"/>
                <w:sz w:val="21"/>
                <w:szCs w:val="21"/>
                <w:lang w:val="en-US"/>
              </w:rPr>
              <w:t>一般的，</w:t>
            </w:r>
            <w:r>
              <w:rPr>
                <w:rFonts w:hint="eastAsia"/>
                <w:sz w:val="21"/>
                <w:szCs w:val="21"/>
              </w:rPr>
              <w:t>得</w:t>
            </w:r>
            <w:r>
              <w:rPr>
                <w:rFonts w:hint="eastAsia"/>
                <w:sz w:val="21"/>
                <w:szCs w:val="21"/>
                <w:lang w:val="en-US"/>
              </w:rPr>
              <w:t>2</w:t>
            </w:r>
            <w:r>
              <w:rPr>
                <w:rFonts w:hint="eastAsia"/>
                <w:sz w:val="21"/>
                <w:szCs w:val="21"/>
              </w:rPr>
              <w:t>分；</w:t>
            </w:r>
          </w:p>
          <w:p>
            <w:pPr>
              <w:rPr>
                <w:rFonts w:hint="eastAsia"/>
              </w:rPr>
            </w:pPr>
            <w:r>
              <w:rPr>
                <w:rFonts w:hint="eastAsia"/>
                <w:sz w:val="21"/>
                <w:szCs w:val="21"/>
              </w:rPr>
              <w:t>产品操作性</w:t>
            </w:r>
            <w:r>
              <w:rPr>
                <w:rFonts w:hint="eastAsia"/>
                <w:sz w:val="21"/>
                <w:szCs w:val="21"/>
                <w:lang w:val="en-US"/>
              </w:rPr>
              <w:t>差的或未提供，不得分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投标产品质量</w:t>
            </w:r>
          </w:p>
        </w:tc>
        <w:tc>
          <w:tcPr>
            <w:tcW w:w="954" w:type="dxa"/>
            <w:noWrap w:val="0"/>
            <w:vAlign w:val="center"/>
          </w:tcPr>
          <w:p>
            <w:pPr>
              <w:jc w:val="center"/>
              <w:rPr>
                <w:rFonts w:hint="eastAsia"/>
                <w:sz w:val="21"/>
                <w:szCs w:val="21"/>
              </w:rPr>
            </w:pPr>
            <w:r>
              <w:rPr>
                <w:rFonts w:hint="eastAsia"/>
                <w:sz w:val="21"/>
                <w:szCs w:val="21"/>
              </w:rPr>
              <w:t>6.00</w:t>
            </w:r>
          </w:p>
        </w:tc>
        <w:tc>
          <w:tcPr>
            <w:tcW w:w="4771" w:type="dxa"/>
            <w:noWrap w:val="0"/>
            <w:vAlign w:val="center"/>
          </w:tcPr>
          <w:p>
            <w:pPr>
              <w:rPr>
                <w:rFonts w:hint="eastAsia"/>
                <w:sz w:val="21"/>
                <w:szCs w:val="21"/>
              </w:rPr>
            </w:pPr>
            <w:r>
              <w:rPr>
                <w:rFonts w:hint="eastAsia"/>
                <w:sz w:val="21"/>
                <w:szCs w:val="21"/>
              </w:rPr>
              <w:t>评标委员会对产品质量进行综合评比。</w:t>
            </w:r>
          </w:p>
          <w:p>
            <w:pPr>
              <w:pStyle w:val="7"/>
              <w:ind w:left="0" w:leftChars="0"/>
              <w:rPr>
                <w:rFonts w:hint="eastAsia"/>
                <w:sz w:val="21"/>
                <w:szCs w:val="21"/>
              </w:rPr>
            </w:pPr>
            <w:r>
              <w:rPr>
                <w:rFonts w:hint="eastAsia"/>
                <w:sz w:val="21"/>
                <w:szCs w:val="21"/>
              </w:rPr>
              <w:t>产品</w:t>
            </w:r>
            <w:r>
              <w:rPr>
                <w:rFonts w:hint="eastAsia"/>
                <w:sz w:val="21"/>
                <w:szCs w:val="21"/>
                <w:lang w:val="en-US"/>
              </w:rPr>
              <w:t>质量高的，</w:t>
            </w:r>
            <w:r>
              <w:rPr>
                <w:rFonts w:hint="eastAsia"/>
                <w:sz w:val="21"/>
                <w:szCs w:val="21"/>
              </w:rPr>
              <w:t>得</w:t>
            </w:r>
            <w:r>
              <w:rPr>
                <w:rFonts w:hint="eastAsia"/>
                <w:sz w:val="21"/>
                <w:szCs w:val="21"/>
                <w:lang w:val="en-US"/>
              </w:rPr>
              <w:t>6</w:t>
            </w:r>
            <w:r>
              <w:rPr>
                <w:rFonts w:hint="eastAsia"/>
                <w:sz w:val="21"/>
                <w:szCs w:val="21"/>
              </w:rPr>
              <w:t>分；</w:t>
            </w:r>
          </w:p>
          <w:p>
            <w:pPr>
              <w:pStyle w:val="7"/>
              <w:ind w:left="0" w:leftChars="0"/>
              <w:rPr>
                <w:rFonts w:hint="eastAsia"/>
                <w:sz w:val="21"/>
                <w:szCs w:val="21"/>
              </w:rPr>
            </w:pPr>
            <w:r>
              <w:rPr>
                <w:rFonts w:hint="eastAsia"/>
                <w:sz w:val="21"/>
                <w:szCs w:val="21"/>
              </w:rPr>
              <w:t>产品</w:t>
            </w:r>
            <w:r>
              <w:rPr>
                <w:rFonts w:hint="eastAsia"/>
                <w:sz w:val="21"/>
                <w:szCs w:val="21"/>
                <w:lang w:val="en-US"/>
              </w:rPr>
              <w:t>质量较高的，</w:t>
            </w:r>
            <w:r>
              <w:rPr>
                <w:rFonts w:hint="eastAsia"/>
                <w:sz w:val="21"/>
                <w:szCs w:val="21"/>
              </w:rPr>
              <w:t>得</w:t>
            </w:r>
            <w:r>
              <w:rPr>
                <w:rFonts w:hint="eastAsia"/>
                <w:sz w:val="21"/>
                <w:szCs w:val="21"/>
                <w:lang w:val="en-US"/>
              </w:rPr>
              <w:t>4</w:t>
            </w:r>
            <w:r>
              <w:rPr>
                <w:rFonts w:hint="eastAsia"/>
                <w:sz w:val="21"/>
                <w:szCs w:val="21"/>
              </w:rPr>
              <w:t>分；</w:t>
            </w:r>
          </w:p>
          <w:p>
            <w:pPr>
              <w:pStyle w:val="7"/>
              <w:ind w:left="0" w:leftChars="0"/>
              <w:rPr>
                <w:rFonts w:hint="eastAsia"/>
                <w:sz w:val="21"/>
                <w:szCs w:val="21"/>
              </w:rPr>
            </w:pPr>
            <w:r>
              <w:rPr>
                <w:rFonts w:hint="eastAsia"/>
                <w:sz w:val="21"/>
                <w:szCs w:val="21"/>
              </w:rPr>
              <w:t>产品</w:t>
            </w:r>
            <w:r>
              <w:rPr>
                <w:rFonts w:hint="eastAsia"/>
                <w:sz w:val="21"/>
                <w:szCs w:val="21"/>
                <w:lang w:val="en-US"/>
              </w:rPr>
              <w:t>质量一般的，</w:t>
            </w:r>
            <w:r>
              <w:rPr>
                <w:rFonts w:hint="eastAsia"/>
                <w:sz w:val="21"/>
                <w:szCs w:val="21"/>
              </w:rPr>
              <w:t>得</w:t>
            </w:r>
            <w:r>
              <w:rPr>
                <w:rFonts w:hint="eastAsia"/>
                <w:sz w:val="21"/>
                <w:szCs w:val="21"/>
                <w:lang w:val="en-US"/>
              </w:rPr>
              <w:t>2</w:t>
            </w:r>
            <w:r>
              <w:rPr>
                <w:rFonts w:hint="eastAsia"/>
                <w:sz w:val="21"/>
                <w:szCs w:val="21"/>
              </w:rPr>
              <w:t>分；</w:t>
            </w:r>
          </w:p>
          <w:p>
            <w:pPr>
              <w:pStyle w:val="7"/>
              <w:ind w:left="0" w:leftChars="0"/>
              <w:rPr>
                <w:rFonts w:hint="eastAsia"/>
              </w:rPr>
            </w:pPr>
            <w:r>
              <w:rPr>
                <w:rFonts w:hint="eastAsia"/>
                <w:sz w:val="21"/>
                <w:szCs w:val="21"/>
              </w:rPr>
              <w:t>产品</w:t>
            </w:r>
            <w:r>
              <w:rPr>
                <w:rFonts w:hint="eastAsia"/>
                <w:sz w:val="21"/>
                <w:szCs w:val="21"/>
                <w:lang w:val="en-US"/>
              </w:rPr>
              <w:t>质量差的或未提供，不得分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投标产品的安全性和可靠性</w:t>
            </w:r>
          </w:p>
        </w:tc>
        <w:tc>
          <w:tcPr>
            <w:tcW w:w="954" w:type="dxa"/>
            <w:noWrap w:val="0"/>
            <w:vAlign w:val="center"/>
          </w:tcPr>
          <w:p>
            <w:pPr>
              <w:jc w:val="center"/>
              <w:rPr>
                <w:rFonts w:hint="eastAsia"/>
                <w:sz w:val="21"/>
                <w:szCs w:val="21"/>
              </w:rPr>
            </w:pPr>
            <w:r>
              <w:rPr>
                <w:rFonts w:hint="eastAsia"/>
                <w:sz w:val="21"/>
                <w:szCs w:val="21"/>
                <w:lang w:val="en-US" w:eastAsia="zh-CN"/>
              </w:rPr>
              <w:t>5</w:t>
            </w:r>
            <w:r>
              <w:rPr>
                <w:rFonts w:hint="eastAsia"/>
                <w:sz w:val="21"/>
                <w:szCs w:val="21"/>
              </w:rPr>
              <w:t>.00</w:t>
            </w:r>
          </w:p>
        </w:tc>
        <w:tc>
          <w:tcPr>
            <w:tcW w:w="4771" w:type="dxa"/>
            <w:noWrap w:val="0"/>
            <w:vAlign w:val="center"/>
          </w:tcPr>
          <w:p>
            <w:pPr>
              <w:rPr>
                <w:rFonts w:hint="eastAsia"/>
                <w:sz w:val="21"/>
                <w:szCs w:val="21"/>
              </w:rPr>
            </w:pPr>
            <w:r>
              <w:rPr>
                <w:rFonts w:hint="eastAsia"/>
                <w:sz w:val="21"/>
                <w:szCs w:val="21"/>
              </w:rPr>
              <w:t>评标委员会对产品安全性进行综合评比。</w:t>
            </w:r>
          </w:p>
          <w:p>
            <w:pPr>
              <w:rPr>
                <w:rFonts w:hint="eastAsia"/>
                <w:sz w:val="21"/>
                <w:szCs w:val="21"/>
              </w:rPr>
            </w:pPr>
            <w:r>
              <w:rPr>
                <w:rFonts w:hint="eastAsia"/>
                <w:sz w:val="21"/>
                <w:szCs w:val="21"/>
                <w:lang w:val="en-US"/>
              </w:rPr>
              <w:t>安全性、可靠性高的，</w:t>
            </w:r>
            <w:r>
              <w:rPr>
                <w:rFonts w:hint="eastAsia"/>
                <w:sz w:val="21"/>
                <w:szCs w:val="21"/>
              </w:rPr>
              <w:t>得</w:t>
            </w:r>
            <w:r>
              <w:rPr>
                <w:rFonts w:hint="eastAsia"/>
                <w:sz w:val="21"/>
                <w:szCs w:val="21"/>
                <w:lang w:val="en-US" w:eastAsia="zh-CN"/>
              </w:rPr>
              <w:t>5</w:t>
            </w:r>
            <w:r>
              <w:rPr>
                <w:rFonts w:hint="eastAsia"/>
                <w:sz w:val="21"/>
                <w:szCs w:val="21"/>
              </w:rPr>
              <w:t>分；</w:t>
            </w:r>
          </w:p>
          <w:p>
            <w:pPr>
              <w:rPr>
                <w:rFonts w:hint="eastAsia"/>
                <w:sz w:val="21"/>
                <w:szCs w:val="21"/>
              </w:rPr>
            </w:pPr>
            <w:r>
              <w:rPr>
                <w:rFonts w:hint="eastAsia"/>
                <w:sz w:val="21"/>
                <w:szCs w:val="21"/>
                <w:lang w:val="en-US"/>
              </w:rPr>
              <w:t>安全性、可靠性较高的，</w:t>
            </w:r>
            <w:r>
              <w:rPr>
                <w:rFonts w:hint="eastAsia"/>
                <w:sz w:val="21"/>
                <w:szCs w:val="21"/>
              </w:rPr>
              <w:t>得</w:t>
            </w:r>
            <w:r>
              <w:rPr>
                <w:rFonts w:hint="eastAsia"/>
                <w:sz w:val="21"/>
                <w:szCs w:val="21"/>
                <w:lang w:val="en-US"/>
              </w:rPr>
              <w:t>3</w:t>
            </w:r>
            <w:r>
              <w:rPr>
                <w:rFonts w:hint="eastAsia"/>
                <w:sz w:val="21"/>
                <w:szCs w:val="21"/>
              </w:rPr>
              <w:t>分；</w:t>
            </w:r>
          </w:p>
          <w:p>
            <w:pPr>
              <w:rPr>
                <w:rFonts w:hint="eastAsia"/>
                <w:sz w:val="21"/>
                <w:szCs w:val="21"/>
              </w:rPr>
            </w:pPr>
            <w:r>
              <w:rPr>
                <w:rFonts w:hint="eastAsia"/>
                <w:sz w:val="21"/>
                <w:szCs w:val="21"/>
                <w:lang w:val="en-US"/>
              </w:rPr>
              <w:t>安全性、可靠性一般的，</w:t>
            </w:r>
            <w:r>
              <w:rPr>
                <w:rFonts w:hint="eastAsia"/>
                <w:sz w:val="21"/>
                <w:szCs w:val="21"/>
              </w:rPr>
              <w:t>得</w:t>
            </w:r>
            <w:r>
              <w:rPr>
                <w:rFonts w:hint="eastAsia"/>
                <w:sz w:val="21"/>
                <w:szCs w:val="21"/>
                <w:lang w:val="en-US"/>
              </w:rPr>
              <w:t>1</w:t>
            </w:r>
            <w:r>
              <w:rPr>
                <w:rFonts w:hint="eastAsia"/>
                <w:sz w:val="21"/>
                <w:szCs w:val="21"/>
              </w:rPr>
              <w:t>分；</w:t>
            </w:r>
          </w:p>
          <w:p>
            <w:pPr>
              <w:rPr>
                <w:rFonts w:hint="eastAsia"/>
                <w:sz w:val="21"/>
                <w:szCs w:val="21"/>
              </w:rPr>
            </w:pPr>
            <w:r>
              <w:rPr>
                <w:rFonts w:hint="eastAsia"/>
                <w:sz w:val="21"/>
                <w:szCs w:val="21"/>
                <w:lang w:val="en-US"/>
              </w:rPr>
              <w:t>安全性、可靠性差的或未提供，不得分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restart"/>
            <w:noWrap w:val="0"/>
            <w:vAlign w:val="center"/>
          </w:tcPr>
          <w:p>
            <w:pPr>
              <w:rPr>
                <w:rFonts w:hint="eastAsia"/>
                <w:sz w:val="21"/>
                <w:szCs w:val="21"/>
              </w:rPr>
            </w:pPr>
            <w:r>
              <w:rPr>
                <w:rFonts w:hint="eastAsia"/>
                <w:sz w:val="21"/>
                <w:szCs w:val="21"/>
              </w:rPr>
              <w:t>售后服务承诺（满分10分）</w:t>
            </w:r>
          </w:p>
        </w:tc>
        <w:tc>
          <w:tcPr>
            <w:tcW w:w="1275" w:type="dxa"/>
            <w:noWrap w:val="0"/>
            <w:vAlign w:val="center"/>
          </w:tcPr>
          <w:p>
            <w:pPr>
              <w:jc w:val="center"/>
              <w:rPr>
                <w:rFonts w:hint="eastAsia"/>
                <w:sz w:val="21"/>
                <w:szCs w:val="21"/>
              </w:rPr>
            </w:pPr>
            <w:r>
              <w:rPr>
                <w:rFonts w:hint="eastAsia"/>
                <w:sz w:val="21"/>
                <w:szCs w:val="21"/>
              </w:rPr>
              <w:t>售后服务方案</w:t>
            </w:r>
          </w:p>
        </w:tc>
        <w:tc>
          <w:tcPr>
            <w:tcW w:w="954" w:type="dxa"/>
            <w:noWrap w:val="0"/>
            <w:vAlign w:val="center"/>
          </w:tcPr>
          <w:p>
            <w:pPr>
              <w:jc w:val="center"/>
              <w:rPr>
                <w:rFonts w:hint="eastAsia"/>
                <w:sz w:val="21"/>
                <w:szCs w:val="21"/>
              </w:rPr>
            </w:pPr>
            <w:r>
              <w:rPr>
                <w:rFonts w:hint="eastAsia"/>
                <w:sz w:val="21"/>
                <w:szCs w:val="21"/>
                <w:lang w:val="en-US" w:eastAsia="zh-CN"/>
              </w:rPr>
              <w:t>5</w:t>
            </w:r>
            <w:r>
              <w:rPr>
                <w:rFonts w:hint="eastAsia"/>
                <w:sz w:val="21"/>
                <w:szCs w:val="21"/>
              </w:rPr>
              <w:t>.00</w:t>
            </w:r>
          </w:p>
        </w:tc>
        <w:tc>
          <w:tcPr>
            <w:tcW w:w="4771" w:type="dxa"/>
            <w:noWrap w:val="0"/>
            <w:vAlign w:val="center"/>
          </w:tcPr>
          <w:p>
            <w:pPr>
              <w:rPr>
                <w:rFonts w:hint="eastAsia"/>
                <w:sz w:val="21"/>
                <w:szCs w:val="21"/>
              </w:rPr>
            </w:pPr>
            <w:r>
              <w:rPr>
                <w:rFonts w:hint="eastAsia"/>
                <w:sz w:val="21"/>
                <w:szCs w:val="21"/>
              </w:rPr>
              <w:t>对供应商提供的售后服务方案是否科学有效、是否具有可操作性进行打分。售后服务方案包括但不限于售后服务体系、售后服务制度、备品备件供应、服务承诺、维护保修内容与范围、客户回访等。</w:t>
            </w:r>
          </w:p>
          <w:p>
            <w:pPr>
              <w:rPr>
                <w:rFonts w:hint="eastAsia"/>
                <w:sz w:val="21"/>
                <w:szCs w:val="21"/>
              </w:rPr>
            </w:pPr>
            <w:r>
              <w:rPr>
                <w:rFonts w:hint="eastAsia"/>
                <w:sz w:val="21"/>
                <w:szCs w:val="21"/>
              </w:rPr>
              <w:t xml:space="preserve">（1）方案科学有效且具有可操作性的，得 </w:t>
            </w:r>
            <w:r>
              <w:rPr>
                <w:rFonts w:hint="eastAsia"/>
                <w:sz w:val="21"/>
                <w:szCs w:val="21"/>
                <w:lang w:val="en-US" w:eastAsia="zh-CN"/>
              </w:rPr>
              <w:t>5</w:t>
            </w:r>
            <w:r>
              <w:rPr>
                <w:rFonts w:hint="eastAsia"/>
                <w:sz w:val="21"/>
                <w:szCs w:val="21"/>
              </w:rPr>
              <w:t xml:space="preserve"> 分。</w:t>
            </w:r>
          </w:p>
          <w:p>
            <w:pPr>
              <w:rPr>
                <w:rFonts w:hint="eastAsia"/>
                <w:sz w:val="21"/>
                <w:szCs w:val="21"/>
              </w:rPr>
            </w:pPr>
            <w:r>
              <w:rPr>
                <w:rFonts w:hint="eastAsia"/>
                <w:sz w:val="21"/>
                <w:szCs w:val="21"/>
              </w:rPr>
              <w:t xml:space="preserve">（2）方案清晰具体且能满足需要的，得 </w:t>
            </w:r>
            <w:r>
              <w:rPr>
                <w:rFonts w:hint="eastAsia"/>
                <w:sz w:val="21"/>
                <w:szCs w:val="21"/>
                <w:lang w:val="en-US" w:eastAsia="zh-CN"/>
              </w:rPr>
              <w:t>3</w:t>
            </w:r>
            <w:r>
              <w:rPr>
                <w:rFonts w:hint="eastAsia"/>
                <w:sz w:val="21"/>
                <w:szCs w:val="21"/>
              </w:rPr>
              <w:t xml:space="preserve"> 分。</w:t>
            </w:r>
          </w:p>
          <w:p>
            <w:pPr>
              <w:rPr>
                <w:rFonts w:hint="eastAsia"/>
                <w:sz w:val="21"/>
                <w:szCs w:val="21"/>
              </w:rPr>
            </w:pPr>
            <w:r>
              <w:rPr>
                <w:rFonts w:hint="eastAsia"/>
                <w:sz w:val="21"/>
                <w:szCs w:val="21"/>
              </w:rPr>
              <w:t>（3）方案能基本满足需要的，得 1分。</w:t>
            </w:r>
          </w:p>
          <w:p>
            <w:pPr>
              <w:rPr>
                <w:rFonts w:hint="eastAsia"/>
                <w:sz w:val="21"/>
                <w:szCs w:val="21"/>
              </w:rPr>
            </w:pPr>
            <w:r>
              <w:rPr>
                <w:rFonts w:hint="eastAsia"/>
                <w:sz w:val="21"/>
                <w:szCs w:val="21"/>
              </w:rPr>
              <w:t>（4）方案存在明显缺陷方案实施难度较大或未提供服务方案的，不得分。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响应时间</w:t>
            </w:r>
          </w:p>
        </w:tc>
        <w:tc>
          <w:tcPr>
            <w:tcW w:w="954" w:type="dxa"/>
            <w:noWrap w:val="0"/>
            <w:vAlign w:val="center"/>
          </w:tcPr>
          <w:p>
            <w:pPr>
              <w:jc w:val="center"/>
              <w:rPr>
                <w:rFonts w:hint="eastAsia"/>
                <w:sz w:val="21"/>
                <w:szCs w:val="21"/>
              </w:rPr>
            </w:pPr>
            <w:r>
              <w:rPr>
                <w:rFonts w:hint="eastAsia"/>
                <w:sz w:val="21"/>
                <w:szCs w:val="21"/>
                <w:lang w:val="en-US"/>
              </w:rPr>
              <w:t>3</w:t>
            </w:r>
            <w:r>
              <w:rPr>
                <w:rFonts w:hint="eastAsia"/>
                <w:sz w:val="21"/>
                <w:szCs w:val="21"/>
              </w:rPr>
              <w:t>.00</w:t>
            </w:r>
          </w:p>
        </w:tc>
        <w:tc>
          <w:tcPr>
            <w:tcW w:w="4771" w:type="dxa"/>
            <w:noWrap w:val="0"/>
            <w:vAlign w:val="center"/>
          </w:tcPr>
          <w:p>
            <w:pPr>
              <w:rPr>
                <w:rFonts w:hint="eastAsia"/>
                <w:sz w:val="21"/>
                <w:szCs w:val="21"/>
              </w:rPr>
            </w:pPr>
            <w:r>
              <w:rPr>
                <w:rFonts w:hint="eastAsia"/>
                <w:sz w:val="21"/>
                <w:szCs w:val="21"/>
                <w:lang w:val="en-US"/>
              </w:rPr>
              <w:t>承诺中标后若采购人有现场服务需求：4小时到达现场，特殊情况下2小时到达，并按要求完成服务，得3分；6小时到达现场，特殊情况下2小时到达，并按要求完成服务，得1分。其余情况或未提供的，不得分。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41" w:type="dxa"/>
            <w:vMerge w:val="continue"/>
            <w:noWrap w:val="0"/>
            <w:vAlign w:val="center"/>
          </w:tcPr>
          <w:p>
            <w:pPr>
              <w:rPr>
                <w:rFonts w:hint="eastAsia"/>
                <w:sz w:val="21"/>
                <w:szCs w:val="21"/>
              </w:rPr>
            </w:pPr>
          </w:p>
        </w:tc>
        <w:tc>
          <w:tcPr>
            <w:tcW w:w="1275" w:type="dxa"/>
            <w:noWrap w:val="0"/>
            <w:vAlign w:val="center"/>
          </w:tcPr>
          <w:p>
            <w:pPr>
              <w:jc w:val="center"/>
              <w:rPr>
                <w:rFonts w:hint="eastAsia"/>
                <w:sz w:val="21"/>
                <w:szCs w:val="21"/>
              </w:rPr>
            </w:pPr>
            <w:r>
              <w:rPr>
                <w:rFonts w:hint="eastAsia"/>
                <w:sz w:val="21"/>
                <w:szCs w:val="21"/>
              </w:rPr>
              <w:t>培训方案</w:t>
            </w:r>
          </w:p>
        </w:tc>
        <w:tc>
          <w:tcPr>
            <w:tcW w:w="954" w:type="dxa"/>
            <w:noWrap w:val="0"/>
            <w:vAlign w:val="center"/>
          </w:tcPr>
          <w:p>
            <w:pPr>
              <w:jc w:val="center"/>
              <w:rPr>
                <w:rFonts w:hint="eastAsia"/>
                <w:sz w:val="21"/>
                <w:szCs w:val="21"/>
              </w:rPr>
            </w:pPr>
            <w:r>
              <w:rPr>
                <w:rFonts w:hint="eastAsia"/>
                <w:sz w:val="21"/>
                <w:szCs w:val="21"/>
              </w:rPr>
              <w:t>2.00</w:t>
            </w:r>
          </w:p>
        </w:tc>
        <w:tc>
          <w:tcPr>
            <w:tcW w:w="4771" w:type="dxa"/>
            <w:noWrap w:val="0"/>
            <w:vAlign w:val="center"/>
          </w:tcPr>
          <w:p>
            <w:pPr>
              <w:rPr>
                <w:rFonts w:hint="eastAsia"/>
                <w:sz w:val="21"/>
                <w:szCs w:val="21"/>
              </w:rPr>
            </w:pPr>
            <w:r>
              <w:rPr>
                <w:rFonts w:hint="eastAsia"/>
                <w:sz w:val="21"/>
                <w:szCs w:val="21"/>
              </w:rPr>
              <w:t xml:space="preserve">供应商根据项目内容提供有针对性的培训方案，包括但不限于培训时间、地点、目标、方式、内容、对象和措施。对方案的科学性和 可行性进行评分。 </w:t>
            </w:r>
          </w:p>
          <w:p>
            <w:pPr>
              <w:numPr>
                <w:ilvl w:val="0"/>
                <w:numId w:val="1"/>
              </w:numPr>
              <w:rPr>
                <w:rFonts w:hint="eastAsia"/>
                <w:sz w:val="21"/>
                <w:szCs w:val="21"/>
              </w:rPr>
            </w:pPr>
            <w:r>
              <w:rPr>
                <w:rFonts w:hint="eastAsia"/>
                <w:sz w:val="21"/>
                <w:szCs w:val="21"/>
              </w:rPr>
              <w:t>方案根据项目量身定制，科学有效具有较高的可行性，得</w:t>
            </w:r>
            <w:r>
              <w:rPr>
                <w:rFonts w:hint="eastAsia"/>
                <w:sz w:val="21"/>
                <w:szCs w:val="21"/>
                <w:lang w:val="en-US"/>
              </w:rPr>
              <w:t>2</w:t>
            </w:r>
            <w:r>
              <w:rPr>
                <w:rFonts w:hint="eastAsia"/>
                <w:sz w:val="21"/>
                <w:szCs w:val="21"/>
              </w:rPr>
              <w:t>分；</w:t>
            </w:r>
          </w:p>
          <w:p>
            <w:pPr>
              <w:numPr>
                <w:ilvl w:val="0"/>
                <w:numId w:val="1"/>
              </w:numPr>
              <w:rPr>
                <w:rFonts w:hint="eastAsia"/>
                <w:sz w:val="21"/>
                <w:szCs w:val="21"/>
              </w:rPr>
            </w:pPr>
            <w:r>
              <w:rPr>
                <w:rFonts w:hint="eastAsia"/>
                <w:sz w:val="21"/>
                <w:szCs w:val="21"/>
              </w:rPr>
              <w:t>方案内容完整、详细，可行，得</w:t>
            </w:r>
            <w:r>
              <w:rPr>
                <w:rFonts w:hint="eastAsia"/>
                <w:sz w:val="21"/>
                <w:szCs w:val="21"/>
                <w:lang w:val="en-US"/>
              </w:rPr>
              <w:t>1</w:t>
            </w:r>
            <w:r>
              <w:rPr>
                <w:rFonts w:hint="eastAsia"/>
                <w:sz w:val="21"/>
                <w:szCs w:val="21"/>
              </w:rPr>
              <w:t>分；</w:t>
            </w:r>
          </w:p>
          <w:p>
            <w:pPr>
              <w:rPr>
                <w:rFonts w:hint="eastAsia"/>
                <w:sz w:val="21"/>
                <w:szCs w:val="21"/>
              </w:rPr>
            </w:pPr>
            <w:r>
              <w:rPr>
                <w:rFonts w:hint="eastAsia"/>
                <w:sz w:val="21"/>
                <w:szCs w:val="21"/>
              </w:rPr>
              <w:t>（4）未提供或不具有可行性，不得分。</w:t>
            </w:r>
          </w:p>
        </w:tc>
      </w:tr>
    </w:tbl>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highlight w:val="none"/>
        </w:rPr>
        <w:t>当评委对投标人的技术标的打分低于</w:t>
      </w:r>
      <w:r>
        <w:rPr>
          <w:rFonts w:hint="eastAsia" w:cs="宋体"/>
          <w:color w:val="000000"/>
          <w:szCs w:val="21"/>
          <w:highlight w:val="none"/>
          <w:lang w:val="en-US" w:eastAsia="zh-CN"/>
        </w:rPr>
        <w:t>技术标</w:t>
      </w:r>
      <w:r>
        <w:rPr>
          <w:rFonts w:hint="eastAsia" w:ascii="宋体" w:hAnsi="宋体" w:cs="宋体"/>
          <w:color w:val="000000"/>
          <w:szCs w:val="21"/>
          <w:highlight w:val="none"/>
        </w:rPr>
        <w:t>总分的60%（或打分为满分）或任何一个子项打分为0分时，须作出解释说明。</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4．评审结果 </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color w:val="000000"/>
          <w:sz w:val="21"/>
          <w:szCs w:val="21"/>
          <w:highlight w:val="none"/>
          <w:lang w:eastAsia="zh-CN"/>
        </w:rPr>
        <w:t>选人</w:t>
      </w:r>
      <w:r>
        <w:rPr>
          <w:rFonts w:hint="eastAsia" w:ascii="宋体" w:hAnsi="宋体"/>
          <w:color w:val="000000"/>
          <w:sz w:val="21"/>
          <w:szCs w:val="21"/>
          <w:highlight w:val="none"/>
        </w:rPr>
        <w:t>，以此类推第二、第三中标候选人。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4.2评标委员会（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color w:val="000000"/>
          <w:sz w:val="21"/>
          <w:szCs w:val="21"/>
          <w:highlight w:val="none"/>
          <w:lang w:eastAsia="zh-CN"/>
        </w:rPr>
        <w:t>人</w:t>
      </w:r>
      <w:r>
        <w:rPr>
          <w:rFonts w:hint="eastAsia" w:ascii="宋体" w:hAnsi="宋体"/>
          <w:color w:val="000000"/>
          <w:sz w:val="21"/>
          <w:szCs w:val="21"/>
          <w:highlight w:val="none"/>
        </w:rPr>
        <w:t>资格，并按4.1条重新确定中标候选</w:t>
      </w:r>
      <w:r>
        <w:rPr>
          <w:rFonts w:hint="eastAsia"/>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4.3评标委员会完成评标后，应当向</w:t>
      </w:r>
      <w:r>
        <w:rPr>
          <w:rFonts w:hint="eastAsia"/>
          <w:color w:val="000000"/>
          <w:sz w:val="21"/>
          <w:szCs w:val="21"/>
          <w:highlight w:val="none"/>
          <w:lang w:eastAsia="zh-CN"/>
        </w:rPr>
        <w:t>招标</w:t>
      </w:r>
      <w:r>
        <w:rPr>
          <w:rFonts w:hint="eastAsia" w:ascii="宋体" w:hAnsi="宋体"/>
          <w:color w:val="000000"/>
          <w:sz w:val="21"/>
          <w:szCs w:val="21"/>
          <w:highlight w:val="none"/>
        </w:rPr>
        <w:t>提交书面评标报告。</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5.例外情况</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color w:val="000000"/>
          <w:sz w:val="21"/>
          <w:szCs w:val="21"/>
          <w:highlight w:val="none"/>
          <w:lang w:val="en-US" w:eastAsia="zh-CN"/>
        </w:rPr>
        <w:t>投标报价</w:t>
      </w:r>
      <w:r>
        <w:rPr>
          <w:rFonts w:hint="eastAsia" w:ascii="宋体" w:hAnsi="宋体"/>
          <w:color w:val="000000"/>
          <w:sz w:val="21"/>
          <w:szCs w:val="21"/>
          <w:highlight w:val="none"/>
        </w:rPr>
        <w:t>”得分高的优先；仍相同时，“</w:t>
      </w:r>
      <w:r>
        <w:rPr>
          <w:rFonts w:hint="eastAsia"/>
          <w:color w:val="000000"/>
          <w:sz w:val="21"/>
          <w:szCs w:val="21"/>
          <w:highlight w:val="none"/>
          <w:lang w:val="en-US" w:eastAsia="zh-CN"/>
        </w:rPr>
        <w:t>技术标</w:t>
      </w:r>
      <w:r>
        <w:rPr>
          <w:rFonts w:hint="eastAsia" w:ascii="宋体" w:hAnsi="宋体"/>
          <w:color w:val="000000"/>
          <w:sz w:val="21"/>
          <w:szCs w:val="21"/>
          <w:highlight w:val="none"/>
        </w:rPr>
        <w:t>”得分高的优先</w:t>
      </w:r>
      <w:r>
        <w:rPr>
          <w:rFonts w:hint="eastAsia"/>
          <w:color w:val="000000"/>
          <w:sz w:val="21"/>
          <w:szCs w:val="21"/>
          <w:highlight w:val="none"/>
          <w:lang w:eastAsia="zh-CN"/>
        </w:rPr>
        <w:t>；</w:t>
      </w:r>
      <w:r>
        <w:rPr>
          <w:rFonts w:hint="eastAsia" w:ascii="宋体" w:hAnsi="宋体"/>
          <w:color w:val="000000"/>
          <w:sz w:val="21"/>
          <w:szCs w:val="21"/>
          <w:highlight w:val="none"/>
        </w:rPr>
        <w:t>依然相同时，由评标委员会现场抽签确定顺序。</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5.2通过评审合格的投标人少于3家，评标委员会应否决全部投标，项目按流标处理。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6.其他</w:t>
      </w:r>
    </w:p>
    <w:p>
      <w:pPr>
        <w:spacing w:line="360"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6.2</w:t>
      </w:r>
      <w:r>
        <w:rPr>
          <w:rFonts w:hint="eastAsia" w:ascii="宋体" w:hAnsi="宋体"/>
          <w:color w:val="000000"/>
          <w:sz w:val="21"/>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pPr>
        <w:pStyle w:val="7"/>
        <w:rPr>
          <w:rFonts w:hint="default"/>
          <w:color w:val="000000"/>
          <w:sz w:val="21"/>
          <w:szCs w:val="21"/>
          <w:highlight w:val="none"/>
          <w:lang w:val="en-US" w:eastAsia="zh-CN"/>
        </w:rPr>
      </w:pPr>
    </w:p>
    <w:p>
      <w:pPr>
        <w:spacing w:line="360" w:lineRule="auto"/>
        <w:ind w:firstLine="420" w:firstLineChars="200"/>
      </w:pPr>
      <w:r>
        <w:rPr>
          <w:rFonts w:hint="eastAsia" w:ascii="宋体" w:hAnsi="宋体"/>
          <w:color w:val="000000"/>
          <w:sz w:val="21"/>
          <w:szCs w:val="21"/>
          <w:highlight w:val="none"/>
          <w:lang w:val="en-US" w:eastAsia="zh-CN"/>
        </w:rPr>
        <w:t>6.4中标候选人公示内容应包括招标人及其委托的代理机构的名称、地址、联系方式，项目名称和项目编号，中标候选人名称</w:t>
      </w:r>
      <w:r>
        <w:rPr>
          <w:rFonts w:hint="eastAsia"/>
          <w:color w:val="FF0000"/>
          <w:sz w:val="21"/>
          <w:szCs w:val="21"/>
          <w:highlight w:val="none"/>
          <w:lang w:val="en-US" w:eastAsia="zh-CN"/>
        </w:rPr>
        <w:t>及排序</w:t>
      </w:r>
      <w:r>
        <w:rPr>
          <w:rFonts w:hint="eastAsia" w:ascii="宋体" w:hAnsi="宋体"/>
          <w:color w:val="000000"/>
          <w:sz w:val="21"/>
          <w:szCs w:val="21"/>
          <w:highlight w:val="none"/>
          <w:lang w:val="en-US" w:eastAsia="zh-CN"/>
        </w:rPr>
        <w:t>、</w:t>
      </w:r>
      <w:r>
        <w:rPr>
          <w:rFonts w:hint="eastAsia"/>
          <w:color w:val="000000"/>
          <w:sz w:val="21"/>
          <w:szCs w:val="21"/>
          <w:highlight w:val="none"/>
          <w:lang w:val="en-US" w:eastAsia="zh-CN"/>
        </w:rPr>
        <w:t>交货期</w:t>
      </w:r>
      <w:r>
        <w:rPr>
          <w:rFonts w:hint="eastAsia" w:ascii="宋体" w:hAnsi="宋体"/>
          <w:color w:val="000000"/>
          <w:sz w:val="21"/>
          <w:szCs w:val="21"/>
          <w:highlight w:val="none"/>
          <w:lang w:val="en-US" w:eastAsia="zh-CN"/>
        </w:rPr>
        <w:t>和投标报价，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w:t>
      </w:r>
      <w:r>
        <w:rPr>
          <w:rFonts w:hint="eastAsia" w:ascii="宋体" w:hAnsi="宋体"/>
          <w:color w:val="000000"/>
          <w:sz w:val="21"/>
          <w:szCs w:val="21"/>
          <w:highlight w:val="none"/>
          <w:lang w:val="en-US" w:eastAsia="zh-CN"/>
        </w:rPr>
        <w:t>评标被否决单位及原因，公示期限。</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Dotum">
    <w:altName w:val="Malgun Gothic"/>
    <w:panose1 w:val="020B0600000101010101"/>
    <w:charset w:val="81"/>
    <w:family w:val="modern"/>
    <w:pitch w:val="default"/>
    <w:sig w:usb0="00000000" w:usb1="00000000" w:usb2="00000030" w:usb3="00000000" w:csb0="4008009F" w:csb1="DFD7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86ED5"/>
    <w:multiLevelType w:val="singleLevel"/>
    <w:tmpl w:val="9C186E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WEzOTE5YmVjZDcxMmNhYThhZTdmMTIyMTA1ZTAifQ=="/>
  </w:docVars>
  <w:rsids>
    <w:rsidRoot w:val="03ED02FB"/>
    <w:rsid w:val="03ED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qFormat/>
    <w:uiPriority w:val="0"/>
    <w:pPr>
      <w:snapToGrid w:val="0"/>
    </w:pPr>
    <w:rPr>
      <w:rFonts w:ascii="Arial" w:hAnsi="Arial"/>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index 4"/>
    <w:basedOn w:val="1"/>
    <w:next w:val="1"/>
    <w:qFormat/>
    <w:uiPriority w:val="99"/>
    <w:pPr>
      <w:ind w:left="600" w:leftChars="60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List Paragraph"/>
    <w:basedOn w:val="1"/>
    <w:qFormat/>
    <w:uiPriority w:val="1"/>
    <w:pPr>
      <w:ind w:left="40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2024-06-12T01:14:00Z</dcterms:created>
  <dc:creator>yuyaohui00</dc:creator>
  <cp:lastModifiedBy>yuyaohui00</cp:lastModifiedBy>
  <dcterms:modified xsi:type="dcterms:W3CDTF">2024-06-12T01:15:04Z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A940DA57ABDE4C95B4EC86EAA1CD05BF_11</vt:lpwstr>
  </property>
</Properties>
</file>